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CHECKLIST DE REVISÃO DE FREQUÊNCIA E RETENÇÃO</w:t>
      </w:r>
    </w:p>
    <w:p>
      <w:pPr>
        <w:jc w:val="center"/>
      </w:pPr>
      <w:r>
        <w:rPr>
          <w:color w:val="475569"/>
          <w:sz w:val="17"/>
        </w:rPr>
        <w:t>Checklist periódico — Questão 79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 frequência e a retenção dos backups são compatíveis com a criticidade dos dados e com o impacto aceitável de perda?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p>
      <w:pPr>
        <w:spacing w:after="20"/>
        <w:ind w:left="57"/>
      </w:pPr>
      <w:r>
        <w:rPr>
          <w:sz w:val="17"/>
        </w:rPr>
        <w:t>☐ Criticidade de cada serviço foi revisada.</w:t>
      </w:r>
    </w:p>
    <w:p>
      <w:pPr>
        <w:spacing w:after="20"/>
        <w:ind w:left="57"/>
      </w:pPr>
      <w:r>
        <w:rPr>
          <w:sz w:val="17"/>
        </w:rPr>
        <w:t>☐ Frequência real dos jobs corresponde à definida.</w:t>
      </w:r>
    </w:p>
    <w:p>
      <w:pPr>
        <w:spacing w:after="20"/>
        <w:ind w:left="57"/>
      </w:pPr>
      <w:r>
        <w:rPr>
          <w:sz w:val="17"/>
        </w:rPr>
        <w:t>☐ Janelas de backup não prejudicam operação crítica.</w:t>
      </w:r>
    </w:p>
    <w:p>
      <w:pPr>
        <w:spacing w:after="20"/>
        <w:ind w:left="57"/>
      </w:pPr>
      <w:r>
        <w:rPr>
          <w:sz w:val="17"/>
        </w:rPr>
        <w:t>☐ Retenção configurada corresponde à política/decisão registrada.</w:t>
      </w:r>
    </w:p>
    <w:p>
      <w:pPr>
        <w:spacing w:after="20"/>
        <w:ind w:left="57"/>
      </w:pPr>
      <w:r>
        <w:rPr>
          <w:sz w:val="17"/>
        </w:rPr>
        <w:t>☐ Capacidade de armazenamento suporta a retenção planejada.</w:t>
      </w:r>
    </w:p>
    <w:p>
      <w:pPr>
        <w:spacing w:after="20"/>
        <w:ind w:left="57"/>
      </w:pPr>
      <w:r>
        <w:rPr>
          <w:sz w:val="17"/>
        </w:rPr>
        <w:t>☐ Mudanças de volume de dados foram consideradas.</w:t>
      </w:r>
    </w:p>
    <w:p>
      <w:pPr>
        <w:spacing w:after="20"/>
        <w:ind w:left="57"/>
      </w:pPr>
      <w:r>
        <w:rPr>
          <w:sz w:val="17"/>
        </w:rPr>
        <w:t>☐ Serviços em nuvem/SaaS tiveram retenção nativa e backup independente avaliados.</w:t>
      </w:r>
    </w:p>
    <w:p>
      <w:pPr>
        <w:spacing w:after="20"/>
        <w:ind w:left="57"/>
      </w:pPr>
      <w:r>
        <w:rPr>
          <w:sz w:val="17"/>
        </w:rPr>
        <w:t>☐ Exceções estão documentadas.</w:t>
      </w:r>
    </w:p>
    <w:p>
      <w:pPr>
        <w:spacing w:after="20"/>
        <w:ind w:left="57"/>
      </w:pPr>
      <w:r>
        <w:rPr>
          <w:sz w:val="17"/>
        </w:rPr>
        <w:t>☐ Falhas recorrentes ou jobs incompletos foram tratadas.</w:t>
      </w:r>
    </w:p>
    <w:p>
      <w:pPr>
        <w:spacing w:after="20"/>
        <w:ind w:left="57"/>
      </w:pPr>
      <w:r>
        <w:rPr>
          <w:sz w:val="17"/>
        </w:rPr>
        <w:t>☐ Última revisão possui responsável e data.</w:t>
      </w:r>
    </w:p>
    <w:p>
      <w:pPr>
        <w:spacing w:before="80" w:after="40"/>
      </w:pPr>
      <w:r>
        <w:rPr>
          <w:b/>
          <w:color w:val="1E40AF"/>
          <w:sz w:val="19"/>
        </w:rPr>
        <w:t>Ajustes necessários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SaaS: software fornecido como serviço, normalmente hospedado em nuvem.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after="0"/>
      </w:pPr>
      <w:r>
        <w:rPr>
          <w:color w:val="475569"/>
          <w:sz w:val="14"/>
        </w:rPr>
        <w:t>CISA #StopRansomware Guide — recomendações de backup offline/segregado e testes de restauração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