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REGISTRO DE EXCEÇÃO DE FREQUÊNCIA OU RETENÇÃO</w:t>
      </w:r>
    </w:p>
    <w:p>
      <w:pPr>
        <w:jc w:val="center"/>
      </w:pPr>
      <w:r>
        <w:rPr>
          <w:color w:val="475569"/>
          <w:sz w:val="17"/>
        </w:rPr>
        <w:t>Registro de decisão — Questão 79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frequência e a retenção dos backups são compatíveis com a criticidade dos dados e com o impacto aceitável de perda?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Sistema/dado: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Exceção até: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Ticket/registro: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Campo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Registro</w:t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Requisito esperado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Configuração/prática atual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Motivo da exceção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Risco/impacto de perda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Controle compensatório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Plano para regularização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Critério de encerramento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Revisão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da revisão: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Situação: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