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BIA SIMPLIFICADA PARA SERVIÇOS DE TI DA CLÍNICA</w:t>
      </w:r>
    </w:p>
    <w:p>
      <w:pPr>
        <w:jc w:val="center"/>
      </w:pPr>
      <w:r>
        <w:rPr>
          <w:color w:val="475569"/>
          <w:sz w:val="17"/>
        </w:rPr>
        <w:t>Análise de impacto simplificada — Questão 82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Existe plano documentado de recuperação dos sistemas e serviços críticos que estabeleça prioridades e objetivos aceitáveis de tempo de recuperação e perda de dados?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BIA: Análise de Impacto nos Negócios; identifica impactos, dependências e prioridades de continuidade.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Processo/serviço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Sistema/dependência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Impacto assistencial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Impacto operacional/financeiro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Tempo máximo tolerável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Perda de dados tolerável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Prioridade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Responsável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Atendimento/recepção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RIS/PACS / laudos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Integrações exames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Faturamento/administrativo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Comunicação/acesso remoto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Uso</w:t>
      </w:r>
    </w:p>
    <w:p>
      <w:pPr>
        <w:spacing w:after="20"/>
        <w:ind w:left="57"/>
      </w:pPr>
      <w:r>
        <w:rPr>
          <w:sz w:val="17"/>
        </w:rPr>
        <w:t>• A BIA ajuda a justificar prioridades e objetivos de recuperação; os valores devem ser definidos com áreas de negócio/assistenciais, não somente pela TI.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