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CHECKLIST DE REDUNDÂNCIA DE LINKS, ARMAZENAMENTO E FAILOVER</w:t>
      </w:r>
    </w:p>
    <w:p>
      <w:pPr>
        <w:jc w:val="center"/>
      </w:pPr>
      <w:r>
        <w:rPr>
          <w:color w:val="475569"/>
          <w:sz w:val="17"/>
        </w:rPr>
        <w:t>Checklist técnico — Questão 84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infraestrutura crítica possui medidas de redundância e proteção contra falhas de energia, comunicação, armazenamento ou ambiente?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DNS: serviço que traduz nomes de sistemas/domínios para endereços IP.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RAID: combinação de discos para disponibilidade/desempenho; não substitui backup.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Failover: transferência do serviço para recurso alternativo quando o principal falha.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89"/>
        <w:gridCol w:w="3589"/>
        <w:gridCol w:w="3589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Área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Pergunta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Resultado/evidência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Internet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link alternativo ou plano de contingência proporcional à criticidade?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Rede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Existe caminho/equipamento alternativo onde a indisponibilidade é crítica?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Armazenamento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RAID/replicação foi corretamente entendido como disponibilidade, não substituto de backup?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Virtualização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Hosts/recursos permitem recuperação ou migração conforme necessidade?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DNS/AD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Dependências de autenticação e resolução possuem estratégia de recuperação?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Firewall/VPN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Configuração está protegida e há plano de substituição/recuperação?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Failover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Mecanismo de failover foi efetivamente testado?</w:t>
            </w:r>
          </w:p>
        </w:tc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Observação</w:t>
      </w:r>
    </w:p>
    <w:p>
      <w:pPr>
        <w:spacing w:after="20"/>
        <w:ind w:left="57"/>
      </w:pPr>
      <w:r>
        <w:rPr>
          <w:sz w:val="17"/>
        </w:rPr>
        <w:t>• Redundância reduz indisponibilidade, mas não substitui backup, recuperação ou contingência.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