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CHECKLIST DE RECERTIFICAÇÃO DE USUÁRIOS E PERMISSÕES</w:t>
      </w:r>
    </w:p>
    <w:p>
      <w:pPr>
        <w:jc w:val="center"/>
      </w:pPr>
      <w:r>
        <w:rPr>
          <w:color w:val="475569"/>
          <w:sz w:val="17"/>
        </w:rPr>
        <w:t>Checklist periódico — Questão 86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gestão de identidades dos sistemas de diagnóstico por imagem (RIS, PACS, portais e sistemas associados) contempla contas identificáveis, perfis compatíveis com a função e revisão periódica de usuários e permissões, inclusive para médicos externos quando aplicável?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after="20"/>
        <w:ind w:left="57"/>
      </w:pPr>
      <w:r>
        <w:rPr>
          <w:sz w:val="16"/>
        </w:rPr>
        <w:t>☐ Lista de usuários foi exportada/obtida de cada sistema relevante.</w:t>
      </w:r>
    </w:p>
    <w:p>
      <w:pPr>
        <w:spacing w:after="20"/>
        <w:ind w:left="57"/>
      </w:pPr>
      <w:r>
        <w:rPr>
          <w:sz w:val="16"/>
        </w:rPr>
        <w:t>☐ Usuários desligados/inativos foram confrontados com RH/cadastro de prestadores.</w:t>
      </w:r>
    </w:p>
    <w:p>
      <w:pPr>
        <w:spacing w:after="20"/>
        <w:ind w:left="57"/>
      </w:pPr>
      <w:r>
        <w:rPr>
          <w:sz w:val="16"/>
        </w:rPr>
        <w:t>☐ Contas genéricas/compartilhadas foram identificadas e justificadas quando tecnicamente inevitáveis.</w:t>
      </w:r>
    </w:p>
    <w:p>
      <w:pPr>
        <w:spacing w:after="20"/>
        <w:ind w:left="57"/>
      </w:pPr>
      <w:r>
        <w:rPr>
          <w:sz w:val="16"/>
        </w:rPr>
        <w:t>☐ Perfis correspondem à função atual.</w:t>
      </w:r>
    </w:p>
    <w:p>
      <w:pPr>
        <w:spacing w:after="20"/>
        <w:ind w:left="57"/>
      </w:pPr>
      <w:r>
        <w:rPr>
          <w:sz w:val="16"/>
        </w:rPr>
        <w:t>☐ Médicos externos sem vínculo/necessidade atual foram revisados.</w:t>
      </w:r>
    </w:p>
    <w:p>
      <w:pPr>
        <w:spacing w:after="20"/>
        <w:ind w:left="57"/>
      </w:pPr>
      <w:r>
        <w:rPr>
          <w:sz w:val="16"/>
        </w:rPr>
        <w:t>☐ Contas administrativas foram separadas das contas de uso cotidiano quando suportado.</w:t>
      </w:r>
    </w:p>
    <w:p>
      <w:pPr>
        <w:spacing w:after="20"/>
        <w:ind w:left="57"/>
      </w:pPr>
      <w:r>
        <w:rPr>
          <w:sz w:val="16"/>
        </w:rPr>
        <w:t>☐ Acessos excepcionais possuem responsável, motivo e prazo.</w:t>
      </w:r>
    </w:p>
    <w:p>
      <w:pPr>
        <w:spacing w:after="20"/>
        <w:ind w:left="57"/>
      </w:pPr>
      <w:r>
        <w:rPr>
          <w:sz w:val="16"/>
        </w:rPr>
        <w:t>☐ Alterações/revogações foram executadas e registradas.</w:t>
      </w:r>
    </w:p>
    <w:p>
      <w:pPr>
        <w:spacing w:after="20"/>
        <w:ind w:left="57"/>
      </w:pPr>
      <w:r>
        <w:rPr>
          <w:sz w:val="16"/>
        </w:rPr>
        <w:t>☐ Data, responsável e próxima revisão foram definidos.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Período da revisão: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Sistemas cobertos: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Total de contas: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Contas ajustadas: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Pendências: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