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PROCEDIMENTO DE GESTÃO DE IDENTIDADES EM RIS/PACS</w:t>
      </w:r>
    </w:p>
    <w:p>
      <w:pPr>
        <w:jc w:val="center"/>
      </w:pPr>
      <w:r>
        <w:rPr>
          <w:color w:val="475569"/>
          <w:sz w:val="17"/>
        </w:rPr>
        <w:t>Procedimento mínimo — Questão 86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 gestão de identidades dos sistemas de diagnóstico por imagem (RIS, PACS, portais e sistemas associados) contempla contas identificáveis, perfis compatíveis com a função e revisão periódica de usuários e permissões, inclusive para médicos externos quando aplicável?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p>
      <w:pPr>
        <w:spacing w:before="80" w:after="40"/>
      </w:pPr>
      <w:r>
        <w:rPr>
          <w:b/>
          <w:color w:val="1E40AF"/>
          <w:sz w:val="19"/>
        </w:rPr>
        <w:t>Fluxo mínimo</w:t>
      </w:r>
    </w:p>
    <w:p>
      <w:pPr>
        <w:spacing w:after="20"/>
        <w:ind w:left="57"/>
      </w:pPr>
      <w:r>
        <w:rPr>
          <w:sz w:val="16"/>
        </w:rPr>
        <w:t>• Solicitação identifica pessoa, vínculo, função e sistemas necessários.</w:t>
      </w:r>
    </w:p>
    <w:p>
      <w:pPr>
        <w:spacing w:after="20"/>
        <w:ind w:left="57"/>
      </w:pPr>
      <w:r>
        <w:rPr>
          <w:sz w:val="16"/>
        </w:rPr>
        <w:t>• Gestor/área responsável aprova o perfil compatível com a função.</w:t>
      </w:r>
    </w:p>
    <w:p>
      <w:pPr>
        <w:spacing w:after="20"/>
        <w:ind w:left="57"/>
      </w:pPr>
      <w:r>
        <w:rPr>
          <w:sz w:val="16"/>
        </w:rPr>
        <w:t>• TI/RIS-PACS cria conta nominal quando o produto suportar e evita reutilização de credenciais.</w:t>
      </w:r>
    </w:p>
    <w:p>
      <w:pPr>
        <w:spacing w:after="20"/>
        <w:ind w:left="57"/>
      </w:pPr>
      <w:r>
        <w:rPr>
          <w:sz w:val="16"/>
        </w:rPr>
        <w:t>• Acessos privilegiados recebem tratamento separado e maior rastreabilidade.</w:t>
      </w:r>
    </w:p>
    <w:p>
      <w:pPr>
        <w:spacing w:after="20"/>
        <w:ind w:left="57"/>
      </w:pPr>
      <w:r>
        <w:rPr>
          <w:sz w:val="16"/>
        </w:rPr>
        <w:t>• Mudanças de função e desligamentos acionam revisão/revogação.</w:t>
      </w:r>
    </w:p>
    <w:p>
      <w:pPr>
        <w:spacing w:after="20"/>
        <w:ind w:left="57"/>
      </w:pPr>
      <w:r>
        <w:rPr>
          <w:sz w:val="16"/>
        </w:rPr>
        <w:t>• Usuários externos possuem vínculo, justificativa e revisão periódica.</w:t>
      </w:r>
    </w:p>
    <w:p>
      <w:pPr>
        <w:spacing w:after="20"/>
        <w:ind w:left="57"/>
      </w:pPr>
      <w:r>
        <w:rPr>
          <w:sz w:val="16"/>
        </w:rPr>
        <w:t>• Recertificação periódica compara contas existentes com a necessidade real.</w:t>
      </w:r>
    </w:p>
    <w:p>
      <w:pPr>
        <w:spacing w:after="20"/>
        <w:ind w:left="57"/>
      </w:pPr>
      <w:r>
        <w:rPr>
          <w:sz w:val="16"/>
        </w:rPr>
        <w:t>• Exceções de legado são registradas com medida compensatória.</w:t>
      </w:r>
    </w:p>
    <w:p>
      <w:pPr>
        <w:spacing w:before="80" w:after="40"/>
      </w:pPr>
      <w:r>
        <w:rPr>
          <w:b/>
          <w:color w:val="1E40AF"/>
          <w:sz w:val="19"/>
        </w:rPr>
        <w:t>Evidências mínimas</w:t>
      </w:r>
    </w:p>
    <w:p>
      <w:pPr>
        <w:spacing w:after="20"/>
        <w:ind w:left="57"/>
      </w:pPr>
      <w:r>
        <w:rPr>
          <w:sz w:val="16"/>
        </w:rPr>
        <w:t>• Lista de contas/perfis.</w:t>
      </w:r>
    </w:p>
    <w:p>
      <w:pPr>
        <w:spacing w:after="20"/>
        <w:ind w:left="57"/>
      </w:pPr>
      <w:r>
        <w:rPr>
          <w:sz w:val="16"/>
        </w:rPr>
        <w:t>• Solicitações/aprovações.</w:t>
      </w:r>
    </w:p>
    <w:p>
      <w:pPr>
        <w:spacing w:after="20"/>
        <w:ind w:left="57"/>
      </w:pPr>
      <w:r>
        <w:rPr>
          <w:sz w:val="16"/>
        </w:rPr>
        <w:t>• Registros de revisão e revogação.</w:t>
      </w:r>
    </w:p>
    <w:p>
      <w:pPr>
        <w:spacing w:after="20"/>
        <w:ind w:left="57"/>
      </w:pPr>
      <w:r>
        <w:rPr>
          <w:sz w:val="16"/>
        </w:rPr>
        <w:t>• Logs de autenticação ou administração quando disponíveis.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ANPD — Guia Orientativo sobre Segurança da Informação para Agentes de Tratamento de Pequeno Porte (2021)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