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VALIDAÇÃO DE LOGS RIS/PACS</w:t>
      </w:r>
    </w:p>
    <w:p>
      <w:pPr>
        <w:jc w:val="center"/>
      </w:pPr>
      <w:r>
        <w:rPr>
          <w:color w:val="475569"/>
          <w:sz w:val="17"/>
        </w:rPr>
        <w:t>Checklist técnico — Questão 87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RIS, PACS, portais e sistemas associados mantêm registros de auditoria suficientes para rastrear eventos relevantes, como acessos, alterações, exportações e outras ações suportadas pelo sistema?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Logs/auditoria estão habilitados nos sistemas relevantes.</w:t>
      </w:r>
    </w:p>
    <w:p>
      <w:pPr>
        <w:spacing w:after="20"/>
        <w:ind w:left="57"/>
      </w:pPr>
      <w:r>
        <w:rPr>
          <w:sz w:val="16"/>
        </w:rPr>
        <w:t>☐ Eventos incluem usuário/identidade quando o produto suporta.</w:t>
      </w:r>
    </w:p>
    <w:p>
      <w:pPr>
        <w:spacing w:after="20"/>
        <w:ind w:left="57"/>
      </w:pPr>
      <w:r>
        <w:rPr>
          <w:sz w:val="16"/>
        </w:rPr>
        <w:t>☐ Data/hora e origem do evento são suficientemente rastreáveis.</w:t>
      </w:r>
    </w:p>
    <w:p>
      <w:pPr>
        <w:spacing w:after="20"/>
        <w:ind w:left="57"/>
      </w:pPr>
      <w:r>
        <w:rPr>
          <w:sz w:val="16"/>
        </w:rPr>
        <w:t>☐ É possível diferenciar consulta, alteração, exportação e ação administrativa quando suportado.</w:t>
      </w:r>
    </w:p>
    <w:p>
      <w:pPr>
        <w:spacing w:after="20"/>
        <w:ind w:left="57"/>
      </w:pPr>
      <w:r>
        <w:rPr>
          <w:sz w:val="16"/>
        </w:rPr>
        <w:t>☐ Acesso aos logs é restrito.</w:t>
      </w:r>
    </w:p>
    <w:p>
      <w:pPr>
        <w:spacing w:after="20"/>
        <w:ind w:left="57"/>
      </w:pPr>
      <w:r>
        <w:rPr>
          <w:sz w:val="16"/>
        </w:rPr>
        <w:t>☐ Retenção está definida e condizente com capacidade/requisitos aplicáveis.</w:t>
      </w:r>
    </w:p>
    <w:p>
      <w:pPr>
        <w:spacing w:after="20"/>
        <w:ind w:left="57"/>
      </w:pPr>
      <w:r>
        <w:rPr>
          <w:sz w:val="16"/>
        </w:rPr>
        <w:t>☐ Relógios dos sistemas estão razoavelmente sincronizados para correlação.</w:t>
      </w:r>
    </w:p>
    <w:p>
      <w:pPr>
        <w:spacing w:after="20"/>
        <w:ind w:left="57"/>
      </w:pPr>
      <w:r>
        <w:rPr>
          <w:sz w:val="16"/>
        </w:rPr>
        <w:t>☐ Foi realizada consulta de amostra e o evento pôde ser localizado.</w:t>
      </w:r>
    </w:p>
    <w:p>
      <w:pPr>
        <w:spacing w:after="20"/>
        <w:ind w:left="57"/>
      </w:pPr>
      <w:r>
        <w:rPr>
          <w:sz w:val="16"/>
        </w:rPr>
        <w:t>☐ Limitações do produto estão documentadas.</w:t>
      </w:r>
    </w:p>
    <w:p>
      <w:pPr>
        <w:spacing w:before="80" w:after="40"/>
      </w:pPr>
      <w:r>
        <w:rPr>
          <w:b/>
          <w:color w:val="1E40AF"/>
          <w:sz w:val="19"/>
        </w:rPr>
        <w:t>Lacunas / evidências observadas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