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CHECKLIST DE INTEGRAÇÃO SEGURA RIS/PACS</w:t>
      </w:r>
    </w:p>
    <w:p>
      <w:pPr>
        <w:jc w:val="center"/>
      </w:pPr>
      <w:r>
        <w:rPr>
          <w:color w:val="475569"/>
          <w:sz w:val="17"/>
        </w:rPr>
        <w:t>Checklist antes de produção/revisão — Questão 88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As integrações entre RIS, PACS, visualizadores, portais, modalidades e outros sistemas são protegidas por segmentação, controle de acesso e/ou mecanismos de comunicação segura compatíveis com o risco e com as capacidades técnicas existentes?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p>
      <w:pPr>
        <w:spacing w:after="20"/>
        <w:ind w:left="57"/>
      </w:pPr>
      <w:r>
        <w:rPr>
          <w:sz w:val="16"/>
        </w:rPr>
        <w:t>☐ Origem, destino, finalidade e responsável estão documentados.</w:t>
      </w:r>
    </w:p>
    <w:p>
      <w:pPr>
        <w:spacing w:after="20"/>
        <w:ind w:left="57"/>
      </w:pPr>
      <w:r>
        <w:rPr>
          <w:sz w:val="16"/>
        </w:rPr>
        <w:t>☐ Somente portas/serviços necessários estão liberados.</w:t>
      </w:r>
    </w:p>
    <w:p>
      <w:pPr>
        <w:spacing w:after="20"/>
        <w:ind w:left="57"/>
      </w:pPr>
      <w:r>
        <w:rPr>
          <w:sz w:val="16"/>
        </w:rPr>
        <w:t>☐ Segmentação ou restrição de rede está aplicada quando viável.</w:t>
      </w:r>
    </w:p>
    <w:p>
      <w:pPr>
        <w:spacing w:after="20"/>
        <w:ind w:left="57"/>
      </w:pPr>
      <w:r>
        <w:rPr>
          <w:sz w:val="16"/>
        </w:rPr>
        <w:t>☐ Comunicação segura é utilizada quando suportada e pertinente.</w:t>
      </w:r>
    </w:p>
    <w:p>
      <w:pPr>
        <w:spacing w:after="20"/>
        <w:ind w:left="57"/>
      </w:pPr>
      <w:r>
        <w:rPr>
          <w:sz w:val="16"/>
        </w:rPr>
        <w:t>☐ Credenciais/segredos não estão embutidos em documentação exposta.</w:t>
      </w:r>
    </w:p>
    <w:p>
      <w:pPr>
        <w:spacing w:after="20"/>
        <w:ind w:left="57"/>
      </w:pPr>
      <w:r>
        <w:rPr>
          <w:sz w:val="16"/>
        </w:rPr>
        <w:t>☐ Contas de serviço possuem privilégios mínimos.</w:t>
      </w:r>
    </w:p>
    <w:p>
      <w:pPr>
        <w:spacing w:after="20"/>
        <w:ind w:left="57"/>
      </w:pPr>
      <w:r>
        <w:rPr>
          <w:sz w:val="16"/>
        </w:rPr>
        <w:t>☐ Integração possui logs/monitoramento compatíveis com o risco.</w:t>
      </w:r>
    </w:p>
    <w:p>
      <w:pPr>
        <w:spacing w:after="20"/>
        <w:ind w:left="57"/>
      </w:pPr>
      <w:r>
        <w:rPr>
          <w:sz w:val="16"/>
        </w:rPr>
        <w:t>☐ Há procedimento de mudança e rollback.</w:t>
      </w:r>
    </w:p>
    <w:p>
      <w:pPr>
        <w:spacing w:after="20"/>
        <w:ind w:left="57"/>
      </w:pPr>
      <w:r>
        <w:rPr>
          <w:sz w:val="16"/>
        </w:rPr>
        <w:t>☐ Dependências e impacto assistencial foram avaliados.</w:t>
      </w:r>
    </w:p>
    <w:p>
      <w:pPr>
        <w:spacing w:after="20"/>
        <w:ind w:left="57"/>
      </w:pPr>
      <w:r>
        <w:rPr>
          <w:sz w:val="16"/>
        </w:rPr>
        <w:t>☐ Limitações de legado foram registradas e compensadas.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Rollback: retorno controlado à configuração/versão anterior.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Integração: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Revisor: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Resultado: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Pendências: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Aprovação: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