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MAPA DE INTEGRAÇÕES E FLUXOS DO ECOSSISTEMA DE IMAGEM</w:t>
      </w:r>
    </w:p>
    <w:p>
      <w:pPr>
        <w:jc w:val="center"/>
      </w:pPr>
      <w:r>
        <w:rPr>
          <w:color w:val="475569"/>
          <w:sz w:val="17"/>
        </w:rPr>
        <w:t>Mapa técnico preenchível — Questão 88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As integrações entre RIS, PACS, visualizadores, portais, modalidades e outros sistemas são protegidas por segmentação, controle de acesso e/ou mecanismos de comunicação segura compatíveis com o risco e com as capacidades técnicas existentes?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API: interface usada para integração e troca estruturada de dados entre sistemas.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HL7: padrões para troca/interoperabilidade de informações clínicas.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VNA: repositório de imagens médicas independente de fabricante, geralmente integrado ao PACS.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MWL: Modality Worklist; serviço DICOM que fornece a lista de exames/pacientes às modalidades.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Origem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Destino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Finalidade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Protocolo/interface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Dados trafegados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Rede/zona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Autenticação/controle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Proteção de transporte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Responsável</w:t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Modalidade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PACS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DICOM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RIS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PACS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HL7/API/DICOM MWL, conforme arquitetura</w:t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PACS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Visualizador/portal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PACS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VNA/backup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Integração externa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Uso</w:t>
      </w:r>
    </w:p>
    <w:p>
      <w:pPr>
        <w:spacing w:after="20"/>
        <w:ind w:left="57"/>
      </w:pPr>
      <w:r>
        <w:rPr>
          <w:sz w:val="16"/>
        </w:rPr>
        <w:t>• Registre o fluxo real; não presuma que toda integração usa DICOM.</w:t>
      </w:r>
    </w:p>
    <w:p>
      <w:pPr>
        <w:spacing w:after="20"/>
        <w:ind w:left="57"/>
      </w:pPr>
      <w:r>
        <w:rPr>
          <w:sz w:val="16"/>
        </w:rPr>
        <w:t>• Não coloque senhas/chaves no documento.</w:t>
      </w:r>
    </w:p>
    <w:p>
      <w:pPr>
        <w:spacing w:after="20"/>
        <w:ind w:left="57"/>
      </w:pPr>
      <w:r>
        <w:rPr>
          <w:sz w:val="16"/>
        </w:rPr>
        <w:t>• Mapeie também integrações legadas e caminhos temporários.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after="0"/>
      </w:pPr>
      <w:r>
        <w:rPr>
          <w:color w:val="475569"/>
          <w:sz w:val="14"/>
        </w:rPr>
        <w:t>Lei nº 13.709/2018 (LGPD), especialmente princípios e medidas de segurança aplicáveis ao contexto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