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MATRIZ DE PROTEÇÃO POR ENLACE/INTEGRAÇÃO</w:t>
      </w:r>
    </w:p>
    <w:p>
      <w:pPr>
        <w:jc w:val="center"/>
      </w:pPr>
      <w:r>
        <w:rPr>
          <w:color w:val="475569"/>
          <w:sz w:val="17"/>
        </w:rPr>
        <w:t>Matriz de controles — Questão 88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As integrações entre RIS, PACS, visualizadores, portais, modalidades e outros sistemas são protegidas por segmentação, controle de acesso e/ou mecanismos de comunicação segura compatíveis com o risco e com as capacidades técnicas existentes?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TLS: protocolo criptográfico que protege comunicações em trânsito.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  <w:gridCol w:w="1596"/>
        <w:gridCol w:w="1596"/>
        <w:gridCol w:w="1596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Integração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Criticidade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Segmentação/zona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ACL/firewall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TLS/VPN/outro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Autenticação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Restrição de origem/destino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Monitoramento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Exceção?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Modalidade → PACS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 ↔ PACS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PACS → portal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Suporte/terceiro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Outro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Nota</w:t>
      </w:r>
    </w:p>
    <w:p>
      <w:pPr>
        <w:spacing w:after="20"/>
        <w:ind w:left="57"/>
      </w:pPr>
      <w:r>
        <w:rPr>
          <w:sz w:val="16"/>
        </w:rPr>
        <w:t>• Nem todo equipamento legado suporta mecanismos modernos; nesses casos documente o risco e controles compensatórios proporcionais.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