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53F69"/>
          <w:sz w:val="17"/>
        </w:rPr>
        <w:t>INSTRUMENTO DE AUTOAVALIAÇÃO DE CONTROLES DE SEGURANÇA CIBERNÉTICA</w:t>
      </w:r>
    </w:p>
    <w:p>
      <w:pPr>
        <w:jc w:val="center"/>
      </w:pPr>
      <w:r>
        <w:rPr>
          <w:b/>
          <w:color w:val="14213D"/>
          <w:sz w:val="28"/>
        </w:rPr>
        <w:t>CHECKLIST DE ABERTURA, ACOMPANHAMENTO E ENCERRAMENTO DA SESSÃO</w:t>
      </w:r>
    </w:p>
    <w:p>
      <w:pPr>
        <w:jc w:val="center"/>
      </w:pPr>
      <w:r>
        <w:rPr>
          <w:color w:val="475569"/>
          <w:sz w:val="17"/>
        </w:rPr>
        <w:t>Checklist operacional — Questão 89 | D09 — Segurança de RIS/PACS e do fluxo de diagnóstico por imagem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766"/>
      </w:tblGrid>
      <w:tr>
        <w:tc>
          <w:tcPr>
            <w:tcW w:type="dxa" w:w="10766"/>
            <w:shd w:fill="EEF4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Questão: Os acessos remotos de fabricantes e mantenedores a modalidades, estações e servidores são autorizados, restritos ao necessário, temporários quando possível e registrados?</w:t>
            </w:r>
          </w:p>
        </w:tc>
      </w:tr>
    </w:tbl>
    <w:p>
      <w:pPr>
        <w:spacing w:after="60"/>
      </w:pPr>
      <w:r>
        <w:rPr>
          <w:b/>
          <w:sz w:val="16"/>
        </w:rPr>
        <w:t xml:space="preserve">Uso do material: </w:t>
      </w:r>
      <w:r>
        <w:rPr>
          <w:sz w:val="16"/>
        </w:rPr>
        <w:t>apoio prático para implementar, verificar ou evidenciar o controle. O documento preenchido, isoladamente, não comprova nível 3; confronte-o com a prática real, configurações, registros, contratos e testes.</w:t>
      </w:r>
    </w:p>
    <w:p>
      <w:pPr>
        <w:spacing w:after="20"/>
        <w:ind w:left="57"/>
      </w:pPr>
      <w:r>
        <w:rPr>
          <w:sz w:val="16"/>
        </w:rPr>
        <w:t>☐ Chamado e necessidade foram confirmados.</w:t>
      </w:r>
    </w:p>
    <w:p>
      <w:pPr>
        <w:spacing w:after="20"/>
        <w:ind w:left="57"/>
      </w:pPr>
      <w:r>
        <w:rPr>
          <w:sz w:val="16"/>
        </w:rPr>
        <w:t>☐ Acesso foi aprovado antes da conexão.</w:t>
      </w:r>
    </w:p>
    <w:p>
      <w:pPr>
        <w:spacing w:after="20"/>
        <w:ind w:left="57"/>
      </w:pPr>
      <w:r>
        <w:rPr>
          <w:sz w:val="16"/>
        </w:rPr>
        <w:t>☐ Janela e escopo foram definidos.</w:t>
      </w:r>
    </w:p>
    <w:p>
      <w:pPr>
        <w:spacing w:after="20"/>
        <w:ind w:left="57"/>
      </w:pPr>
      <w:r>
        <w:rPr>
          <w:sz w:val="16"/>
        </w:rPr>
        <w:t>☐ Conta nominal/identificável foi usada quando suportado.</w:t>
      </w:r>
    </w:p>
    <w:p>
      <w:pPr>
        <w:spacing w:after="20"/>
        <w:ind w:left="57"/>
      </w:pPr>
      <w:r>
        <w:rPr>
          <w:sz w:val="16"/>
        </w:rPr>
        <w:t>☐ MFA/VPN/bastion ou controle equivalente foi aplicado quando disponível.</w:t>
      </w:r>
    </w:p>
    <w:p>
      <w:pPr>
        <w:spacing w:after="20"/>
        <w:ind w:left="57"/>
      </w:pPr>
      <w:r>
        <w:rPr>
          <w:sz w:val="16"/>
        </w:rPr>
        <w:t>☐ Sessão foi acompanhada/monitorada quando pertinente.</w:t>
      </w:r>
    </w:p>
    <w:p>
      <w:pPr>
        <w:spacing w:after="20"/>
        <w:ind w:left="57"/>
      </w:pPr>
      <w:r>
        <w:rPr>
          <w:sz w:val="16"/>
        </w:rPr>
        <w:t>☐ Atividades relevantes ficaram registradas em logs ou no chamado.</w:t>
      </w:r>
    </w:p>
    <w:p>
      <w:pPr>
        <w:spacing w:after="20"/>
        <w:ind w:left="57"/>
      </w:pPr>
      <w:r>
        <w:rPr>
          <w:sz w:val="16"/>
        </w:rPr>
        <w:t>☐ Arquivos/ferramentas temporários foram removidos quando necessário.</w:t>
      </w:r>
    </w:p>
    <w:p>
      <w:pPr>
        <w:spacing w:after="20"/>
        <w:ind w:left="57"/>
      </w:pPr>
      <w:r>
        <w:rPr>
          <w:sz w:val="16"/>
        </w:rPr>
        <w:t>☐ Conta/túnel/janela temporária foi encerrada ao final.</w:t>
      </w:r>
    </w:p>
    <w:p>
      <w:pPr>
        <w:spacing w:after="20"/>
        <w:ind w:left="57"/>
      </w:pPr>
      <w:r>
        <w:rPr>
          <w:sz w:val="16"/>
        </w:rPr>
        <w:t>☐ Resultado e eventuais mudanças foram registrados.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0766"/>
      </w:tblGrid>
      <w:tr>
        <w:tc>
          <w:tcPr>
            <w:tcW w:type="dxa" w:w="10766"/>
            <w:vAlign w:val="center"/>
            <w:shd w:fill="F3F7FA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04" w:lineRule="auto"/>
            </w:pPr>
            <w:r>
              <w:rPr>
                <w:b/>
                <w:sz w:val="14"/>
              </w:rPr>
              <w:t xml:space="preserve">Legenda / termos usados — </w:t>
            </w:r>
            <w:r>
              <w:rPr>
                <w:sz w:val="13"/>
              </w:rPr>
              <w:t>MFA: autenticação multifator, usando dois ou mais fatores independentes.</w:t>
            </w:r>
            <w:r>
              <w:rPr>
                <w:sz w:val="13"/>
              </w:rPr>
              <w:t xml:space="preserve">  •  </w:t>
            </w:r>
            <w:r>
              <w:rPr>
                <w:sz w:val="13"/>
              </w:rPr>
              <w:t>VPN: rede privada virtual; canal protegido para acesso remoto ou comunicação entre redes.</w:t>
            </w:r>
            <w:r>
              <w:rPr>
                <w:sz w:val="13"/>
              </w:rPr>
              <w:t xml:space="preserve">  •  </w:t>
            </w:r>
            <w:r>
              <w:rPr>
                <w:sz w:val="13"/>
              </w:rPr>
              <w:t>RIS: Sistema de Informação Radiológica, usado no fluxo administrativo/assistencial dos exames.</w:t>
            </w:r>
            <w:r>
              <w:rPr>
                <w:sz w:val="13"/>
              </w:rPr>
              <w:t xml:space="preserve">  •  </w:t>
            </w:r>
            <w:r>
              <w:rPr>
                <w:sz w:val="13"/>
              </w:rPr>
              <w:t>DICOM: padrão para formato e comunicação de imagens médicas e dados associados.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383"/>
        <w:gridCol w:w="5383"/>
      </w:tblGrid>
      <w:tr>
        <w:tc>
          <w:tcPr>
            <w:tcW w:type="dxa" w:w="5383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Sessão/chamado: ______________________________</w:t>
            </w:r>
          </w:p>
        </w:tc>
        <w:tc>
          <w:tcPr>
            <w:tcW w:type="dxa" w:w="5383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Início: ______________________________</w:t>
            </w:r>
          </w:p>
        </w:tc>
      </w:tr>
      <w:tr>
        <w:tc>
          <w:tcPr>
            <w:tcW w:type="dxa" w:w="5383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Fim: ______________________________</w:t>
            </w:r>
          </w:p>
        </w:tc>
        <w:tc>
          <w:tcPr>
            <w:tcW w:type="dxa" w:w="5383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Acompanhante: ______________________________</w:t>
            </w:r>
          </w:p>
        </w:tc>
      </w:tr>
      <w:tr>
        <w:tc>
          <w:tcPr>
            <w:tcW w:type="dxa" w:w="5383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Resultado: ______________________________</w:t>
            </w:r>
          </w:p>
        </w:tc>
        <w:tc>
          <w:tcPr>
            <w:tcW w:type="dxa" w:w="5383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Evidência: ______________________________</w:t>
            </w:r>
          </w:p>
        </w:tc>
      </w:tr>
    </w:tbl>
    <w:p>
      <w:pPr>
        <w:spacing w:before="80" w:after="40"/>
      </w:pPr>
      <w:r>
        <w:rPr>
          <w:b/>
          <w:color w:val="1E40AF"/>
          <w:sz w:val="19"/>
        </w:rPr>
        <w:t>Referências de apoio</w:t>
      </w:r>
    </w:p>
    <w:p>
      <w:pPr>
        <w:spacing w:after="0"/>
      </w:pPr>
      <w:r>
        <w:rPr>
          <w:color w:val="475569"/>
          <w:sz w:val="14"/>
        </w:rPr>
        <w:t>NIST Cybersecurity Framework (CSF) 2.0</w:t>
      </w:r>
    </w:p>
    <w:p>
      <w:pPr>
        <w:spacing w:after="0"/>
      </w:pPr>
      <w:r>
        <w:rPr>
          <w:color w:val="475569"/>
          <w:sz w:val="14"/>
        </w:rPr>
        <w:t>NIST SP 1800-24 — Securing Picture Archiving and Communication System (PACS)</w:t>
      </w:r>
    </w:p>
    <w:p>
      <w:pPr>
        <w:spacing w:after="0"/>
      </w:pPr>
      <w:r>
        <w:rPr>
          <w:color w:val="475569"/>
          <w:sz w:val="14"/>
        </w:rPr>
        <w:t>DICOM PS3.15 — Security and System Management Profiles</w:t>
      </w:r>
    </w:p>
    <w:p>
      <w:pPr>
        <w:spacing w:before="40" w:after="0"/>
      </w:pPr>
      <w:r>
        <w:rPr>
          <w:i/>
          <w:color w:val="64748B"/>
          <w:sz w:val="14"/>
        </w:rPr>
        <w:t>Observação: material de apoio próprio e adaptável à realidade da clínica. Não representa certificação, parecer jurídico, configuração universal de fabricante ou modelo oficial/homologado. Em modalidades e sistemas legados, valide alterações com o fornecedor e preserve a segurança assistencial.</w:t>
      </w:r>
    </w:p>
    <w:sectPr w:rsidR="00FC693F" w:rsidRPr="0006063C" w:rsidSect="00034616">
      <w:footerReference w:type="default" r:id="rId9"/>
      <w:pgSz w:w="12240" w:h="15840"/>
      <w:pgMar w:top="652" w:right="737" w:bottom="680" w:left="7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3"/>
      </w:rPr>
      <w:t>Material de apoio do instrumento — v0.5 / draft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