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8"/>
        </w:rPr>
        <w:t>REVISÃO DE ACESSOS PERMANENTES E CONTROLES COMPENSATÓRIOS</w:t>
      </w:r>
    </w:p>
    <w:p>
      <w:pPr>
        <w:jc w:val="center"/>
      </w:pPr>
      <w:r>
        <w:rPr>
          <w:color w:val="475569"/>
          <w:sz w:val="17"/>
        </w:rPr>
        <w:t>Registro periódico — Questão 89 | D09 — Segurança de RIS/PACS e do fluxo de diagnóstico por imagem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Os acessos remotos de fabricantes e mantenedores a modalidades, estações e servidores são autorizados, restritos ao necessário, temporários quando possível e registrados?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configurações, registros, contratos e testes.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MFA: autenticação multifator, usando dois ou mais fatores independentes.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RIS: Sistema de Informação Radiológica, usado no fluxo administrativo/assistencial dos exames.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DICOM: padrão para formato e comunicação de imagens médicas e dados associados.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96"/>
        <w:gridCol w:w="1596"/>
        <w:gridCol w:w="1596"/>
        <w:gridCol w:w="1596"/>
        <w:gridCol w:w="1596"/>
        <w:gridCol w:w="1596"/>
        <w:gridCol w:w="1596"/>
        <w:gridCol w:w="1596"/>
        <w:gridCol w:w="1596"/>
      </w:tblGrid>
      <w:tr>
        <w:trPr>
          <w:tblHeader w:val="true"/>
        </w:trPr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Fornecedor/acesso</w:t>
            </w:r>
          </w:p>
        </w:tc>
        <w:tc>
          <w:tcPr>
            <w:tcW w:type="dxa" w:w="3969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Por que precisa ser permanente?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Escopo mínimo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Restrições/segmentação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MFA/identidade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Logs/monitoramento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Último uso</w:t>
            </w:r>
          </w:p>
        </w:tc>
        <w:tc>
          <w:tcPr>
            <w:tcW w:type="dxa" w:w="1701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Manter?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Próxima revisão</w:t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☐ Sim ☐ Não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☐ Sim ☐ Não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☐ Sim ☐ Não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☐ Sim ☐ Não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☐ Sim ☐ Não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☐ Sim ☐ Não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☐ Sim ☐ Não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Decisão</w:t>
      </w:r>
    </w:p>
    <w:p>
      <w:pPr>
        <w:spacing w:after="20"/>
        <w:ind w:left="57"/>
      </w:pPr>
      <w:r>
        <w:rPr>
          <w:sz w:val="16"/>
        </w:rPr>
        <w:t>• Acesso que não seja mais necessário deve ser removido.</w:t>
      </w:r>
    </w:p>
    <w:p>
      <w:pPr>
        <w:spacing w:after="20"/>
        <w:ind w:left="57"/>
      </w:pPr>
      <w:r>
        <w:rPr>
          <w:sz w:val="16"/>
        </w:rPr>
        <w:t>• Quando o fornecedor exigir permanência por limitação técnica/contratual, registre compensações e revisão periódica.</w:t>
      </w:r>
    </w:p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1800-24 — Securing Picture Archiving and Communication System (PACS)</w:t>
      </w:r>
    </w:p>
    <w:p>
      <w:pPr>
        <w:spacing w:after="0"/>
      </w:pPr>
      <w:r>
        <w:rPr>
          <w:color w:val="475569"/>
          <w:sz w:val="14"/>
        </w:rPr>
        <w:t>DICOM PS3.15 — Security and System Management Profiles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jurídico, configuração universal de fabricante ou modelo oficial/homologado. Em modalidades e sistemas legados, valide alterações com o fornecedor e preserve a segurança assistencial.</w:t>
      </w:r>
    </w:p>
    <w:sectPr w:rsidR="00FC693F" w:rsidRPr="0006063C" w:rsidSect="00034616">
      <w:footerReference w:type="default" r:id="rId9"/>
      <w:pgSz w:w="15840" w:h="12240" w:orient="landscape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