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7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28"/>
        </w:rPr>
        <w:t>CHECKLIST DE SEGURANÇA — PORTAL, LINK E MÍDIA</w:t>
      </w:r>
    </w:p>
    <w:p>
      <w:pPr>
        <w:jc w:val="center"/>
      </w:pPr>
      <w:r>
        <w:rPr>
          <w:color w:val="475569"/>
          <w:sz w:val="17"/>
        </w:rPr>
        <w:t>Checklist por canal — Questão 90 | D09 — Segurança de RIS/PACS e do fluxo de diagnóstico por imagem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shd w:fill="EEF4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Questão: O envio, a exportação e a entrega de imagens e laudos por portal, mídia, link, integração ou outro meio possuem controles de acesso ou autenticação, prazo/restrição quando aplicável e rastreabilidade compatível com o risco?</w:t>
            </w:r>
          </w:p>
        </w:tc>
      </w:tr>
    </w:tbl>
    <w:p>
      <w:pPr>
        <w:spacing w:after="60"/>
      </w:pPr>
      <w:r>
        <w:rPr>
          <w:b/>
          <w:sz w:val="16"/>
        </w:rPr>
        <w:t xml:space="preserve">Uso do material: </w:t>
      </w:r>
      <w:r>
        <w:rPr>
          <w:sz w:val="16"/>
        </w:rPr>
        <w:t>apoio prático para implementar, verificar ou evidenciar o controle. O documento preenchido, isoladamente, não comprova nível 3; confronte-o com a prática real, configurações, registros, contratos e testes.</w:t>
      </w:r>
    </w:p>
    <w:p>
      <w:pPr>
        <w:spacing w:after="20"/>
        <w:ind w:left="57"/>
      </w:pPr>
      <w:r>
        <w:rPr>
          <w:sz w:val="16"/>
        </w:rPr>
        <w:t>☐ Destinatário e finalidade estão claros.</w:t>
      </w:r>
    </w:p>
    <w:p>
      <w:pPr>
        <w:spacing w:after="20"/>
        <w:ind w:left="57"/>
      </w:pPr>
      <w:r>
        <w:rPr>
          <w:sz w:val="16"/>
        </w:rPr>
        <w:t>☐ Canal é autorizado pela organização.</w:t>
      </w:r>
    </w:p>
    <w:p>
      <w:pPr>
        <w:spacing w:after="20"/>
        <w:ind w:left="57"/>
      </w:pPr>
      <w:r>
        <w:rPr>
          <w:sz w:val="16"/>
        </w:rPr>
        <w:t>☐ Autenticação/controle de acesso é compatível com o risco.</w:t>
      </w:r>
    </w:p>
    <w:p>
      <w:pPr>
        <w:spacing w:after="20"/>
        <w:ind w:left="57"/>
      </w:pPr>
      <w:r>
        <w:rPr>
          <w:sz w:val="16"/>
        </w:rPr>
        <w:t>☐ Links possuem expiração ou restrição quando o recurso estiver disponível e for pertinente.</w:t>
      </w:r>
    </w:p>
    <w:p>
      <w:pPr>
        <w:spacing w:after="20"/>
        <w:ind w:left="57"/>
      </w:pPr>
      <w:r>
        <w:rPr>
          <w:sz w:val="16"/>
        </w:rPr>
        <w:t>☐ Não são usadas credenciais compartilhadas de forma desnecessária.</w:t>
      </w:r>
    </w:p>
    <w:p>
      <w:pPr>
        <w:spacing w:after="20"/>
        <w:ind w:left="57"/>
      </w:pPr>
      <w:r>
        <w:rPr>
          <w:sz w:val="16"/>
        </w:rPr>
        <w:t>☐ Exportações/downloads ficam registradas quando o sistema suporta.</w:t>
      </w:r>
    </w:p>
    <w:p>
      <w:pPr>
        <w:spacing w:after="20"/>
        <w:ind w:left="57"/>
      </w:pPr>
      <w:r>
        <w:rPr>
          <w:sz w:val="16"/>
        </w:rPr>
        <w:t>☐ Mídias removíveis são controladas e protegidas conforme o caso.</w:t>
      </w:r>
    </w:p>
    <w:p>
      <w:pPr>
        <w:spacing w:after="20"/>
        <w:ind w:left="57"/>
      </w:pPr>
      <w:r>
        <w:rPr>
          <w:sz w:val="16"/>
        </w:rPr>
        <w:t>☐ Arquivos temporários/cópias locais são tratados após o uso.</w:t>
      </w:r>
    </w:p>
    <w:p>
      <w:pPr>
        <w:spacing w:after="20"/>
        <w:ind w:left="57"/>
      </w:pPr>
      <w:r>
        <w:rPr>
          <w:sz w:val="16"/>
        </w:rPr>
        <w:t>☐ Dados enviados são mínimos para a finalidade.</w:t>
      </w:r>
    </w:p>
    <w:p>
      <w:pPr>
        <w:spacing w:after="20"/>
        <w:ind w:left="57"/>
      </w:pPr>
      <w:r>
        <w:rPr>
          <w:sz w:val="16"/>
        </w:rPr>
        <w:t>☐ Exceções possuem autorização e registro.</w:t>
      </w:r>
    </w:p>
    <w:p>
      <w:pPr>
        <w:spacing w:before="80" w:after="40"/>
      </w:pPr>
      <w:r>
        <w:rPr>
          <w:b/>
          <w:color w:val="1E40AF"/>
          <w:sz w:val="19"/>
        </w:rPr>
        <w:t>Exceções / evidências</w:t>
      </w:r>
    </w:p>
    <w:p>
      <w:pPr>
        <w:spacing w:after="0"/>
      </w:pPr>
      <w:r>
        <w:rPr>
          <w:color w:val="94A3B8"/>
          <w:sz w:val="15"/>
        </w:rPr>
        <w:t>________________________________________________________________________________________</w:t>
      </w:r>
    </w:p>
    <w:p>
      <w:pPr>
        <w:spacing w:after="0"/>
      </w:pPr>
      <w:r>
        <w:rPr>
          <w:color w:val="94A3B8"/>
          <w:sz w:val="15"/>
        </w:rPr>
        <w:t>________________________________________________________________________________________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RIS: Sistema de Informação Radiológica, usado no fluxo administrativo/assistencial dos exames.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DICOM: padrão para formato e comunicação de imagens médicas e dados associados.</w:t>
            </w:r>
          </w:p>
        </w:tc>
      </w:tr>
    </w:tbl>
    <w:p>
      <w:pPr>
        <w:spacing w:before="80" w:after="40"/>
      </w:pPr>
      <w:r>
        <w:rPr>
          <w:b/>
          <w:color w:val="1E40AF"/>
          <w:sz w:val="19"/>
        </w:rPr>
        <w:t>Referências de apoio</w:t>
      </w:r>
    </w:p>
    <w:p>
      <w:pPr>
        <w:spacing w:after="0"/>
      </w:pPr>
      <w:r>
        <w:rPr>
          <w:color w:val="475569"/>
          <w:sz w:val="14"/>
        </w:rPr>
        <w:t>NIST Cybersecurity Framework (CSF) 2.0</w:t>
      </w:r>
    </w:p>
    <w:p>
      <w:pPr>
        <w:spacing w:after="0"/>
      </w:pPr>
      <w:r>
        <w:rPr>
          <w:color w:val="475569"/>
          <w:sz w:val="14"/>
        </w:rPr>
        <w:t>NIST SP 1800-24 — Securing Picture Archiving and Communication System (PACS)</w:t>
      </w:r>
    </w:p>
    <w:p>
      <w:pPr>
        <w:spacing w:after="0"/>
      </w:pPr>
      <w:r>
        <w:rPr>
          <w:color w:val="475569"/>
          <w:sz w:val="14"/>
        </w:rPr>
        <w:t>DICOM PS3.15 — Security and System Management Profiles</w:t>
      </w:r>
    </w:p>
    <w:p>
      <w:pPr>
        <w:spacing w:after="0"/>
      </w:pPr>
      <w:r>
        <w:rPr>
          <w:color w:val="475569"/>
          <w:sz w:val="14"/>
        </w:rPr>
        <w:t>ANPD — Guia Orientativo sobre Segurança da Informação para Agentes de Tratamento de Pequeno Porte (2021)</w:t>
      </w:r>
    </w:p>
    <w:p>
      <w:pPr>
        <w:spacing w:before="40" w:after="0"/>
      </w:pPr>
      <w:r>
        <w:rPr>
          <w:i/>
          <w:color w:val="64748B"/>
          <w:sz w:val="14"/>
        </w:rPr>
        <w:t>Observação: material de apoio próprio e adaptável à realidade da clínica. Não representa certificação, parecer jurídico, configuração universal de fabricante ou modelo oficial/homologado. Em modalidades e sistemas legados, valide alterações com o fornecedor e preserve a segurança assistencial.</w:t>
      </w:r>
    </w:p>
    <w:sectPr w:rsidR="00FC693F" w:rsidRPr="0006063C" w:rsidSect="00034616">
      <w:footerReference w:type="default" r:id="rId9"/>
      <w:pgSz w:w="12240" w:h="15840"/>
      <w:pgMar w:top="652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3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