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8"/>
        </w:rPr>
        <w:t>REGISTRO DE DATASET/EXPORTAÇÃO DESIDENTIFICADA</w:t>
      </w:r>
    </w:p>
    <w:p>
      <w:pPr>
        <w:jc w:val="center"/>
      </w:pPr>
      <w:r>
        <w:rPr>
          <w:color w:val="475569"/>
          <w:sz w:val="17"/>
        </w:rPr>
        <w:t>Registro de rastreabilidade — Questão 92 | D09 — Segurança de RIS/PACS e do fluxo de diagnóstico por imagem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Quando imagens ou dados são utilizados fora da finalidade assistencial principal — como ensino, pesquisa, demonstração ou suporte — são aplicadas minimização, desidentificação ou outras medidas de proteção quando pertinentes?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configurações, registros, contratos e testes.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RIS: Sistema de Informação Radiológica, usado no fluxo administrativo/assistencial dos exames.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DICOM: padrão para formato e comunicação de imagens médicas e dados associados.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Desidentificação: redução/remoção de elementos que associem dados a uma pessoa; não implica automaticamente anonimização irreversível.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Pseudonimização: substituição de identificadores por códigos/chaves, mantendo reidentificação possível com informação adicional protegida.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96"/>
        <w:gridCol w:w="1596"/>
        <w:gridCol w:w="1596"/>
        <w:gridCol w:w="1596"/>
        <w:gridCol w:w="1596"/>
        <w:gridCol w:w="1596"/>
        <w:gridCol w:w="1596"/>
        <w:gridCol w:w="1596"/>
        <w:gridCol w:w="1596"/>
      </w:tblGrid>
      <w:tr>
        <w:trPr>
          <w:tblHeader w:val="true"/>
        </w:trPr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ID interno do conjunto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Finalidade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Origem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Escopo/quantidade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Método/perfil aplicado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Validação de amostra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Destino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Prazo/eliminação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Responsável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Controles adicionais</w:t>
      </w:r>
    </w:p>
    <w:p>
      <w:pPr>
        <w:spacing w:after="20"/>
        <w:ind w:left="57"/>
      </w:pPr>
      <w:r>
        <w:rPr>
          <w:sz w:val="16"/>
        </w:rPr>
        <w:t>• Evite registrar no mesmo documento a chave de reversão/pseudonimização quando isso aumentar o risco.</w:t>
      </w:r>
    </w:p>
    <w:p>
      <w:pPr>
        <w:spacing w:after="20"/>
        <w:ind w:left="57"/>
      </w:pPr>
      <w:r>
        <w:rPr>
          <w:sz w:val="16"/>
        </w:rPr>
        <w:t>• Se houver compartilhamento externo, registre condições e responsabilidades aplicáveis.</w:t>
      </w:r>
    </w:p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1800-24 — Securing Picture Archiving and Communication System (PACS)</w:t>
      </w:r>
    </w:p>
    <w:p>
      <w:pPr>
        <w:spacing w:after="0"/>
      </w:pPr>
      <w:r>
        <w:rPr>
          <w:color w:val="475569"/>
          <w:sz w:val="14"/>
        </w:rPr>
        <w:t>DICOM PS3.15 — Security and System Management Profiles</w:t>
      </w:r>
    </w:p>
    <w:p>
      <w:pPr>
        <w:spacing w:after="0"/>
      </w:pPr>
      <w:r>
        <w:rPr>
          <w:color w:val="475569"/>
          <w:sz w:val="14"/>
        </w:rPr>
        <w:t>ANPD — Guia Orientativo Tratamento de Dados Pessoais para Fins Acadêmicos e para a Realização de Estudos e Pesquisas</w:t>
      </w:r>
    </w:p>
    <w:p>
      <w:pPr>
        <w:spacing w:after="0"/>
      </w:pPr>
      <w:r>
        <w:rPr>
          <w:color w:val="475569"/>
          <w:sz w:val="14"/>
        </w:rPr>
        <w:t>DICOM PS3.15 — Attribute Confidentiality Profiles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jurídico, configuração universal de fabricante ou modelo oficial/homologado. Em modalidades e sistemas legados, valide alterações com o fornecedor e preserve a segurança assistencial.</w:t>
      </w:r>
    </w:p>
    <w:sectPr w:rsidR="00FC693F" w:rsidRPr="0006063C" w:rsidSect="00034616">
      <w:footerReference w:type="default" r:id="rId9"/>
      <w:pgSz w:w="15840" w:h="12240" w:orient="landscape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