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Liberation Sans" w:hAnsi="Liberation Sans"/>
          <w:b/>
          <w:color w:val="0F172A"/>
          <w:sz w:val="40"/>
        </w:rPr>
        <w:t>D05 — GUIA DE USO DOS MATERIAIS</w:t>
      </w:r>
    </w:p>
    <w:p>
      <w:r>
        <w:rPr>
          <w:rFonts w:ascii="Liberation Sans" w:hAnsi="Liberation Sans"/>
          <w:color w:val="4F46E5"/>
        </w:rPr>
        <w:t>Infraestrutura, redes, sistemas e dispositivos — Q47 a Q57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FDE68A"/>
          <w:left w:val="single" w:sz="5" w:color="FDE68A"/>
          <w:bottom w:val="single" w:sz="5" w:color="FDE68A"/>
          <w:right w:val="single" w:sz="5" w:color="FDE68A"/>
          <w:insideH w:val="single" w:sz="5" w:color="FDE68A"/>
          <w:insideV w:val="single" w:sz="5" w:color="FDE68A"/>
        </w:tblBorders>
      </w:tblPr>
      <w:tblGrid>
        <w:gridCol w:w="10368"/>
      </w:tblGrid>
      <w:tr>
        <w:tc>
          <w:tcPr>
            <w:tcW w:type="dxa" w:w="10368"/>
            <w:shd w:fill="FFFBEB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Princípio: </w:t>
            </w:r>
            <w:r>
              <w:rPr>
                <w:rFonts w:ascii="Liberation Sans" w:hAnsi="Liberation Sans"/>
                <w:color w:val="475569"/>
                <w:sz w:val="16"/>
              </w:rPr>
              <w:t>Os modelos apoiam verificação, implementação e evidência. Não elevam automaticamente o nível do controle e não substituem validação técnica, compatibilidade de fornecedor ou análise de risco.</w:t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21"/>
        </w:rPr>
        <w:t>Q47 — Existem padrões mínimos de configuração segura (hardening) para servidores, estações, dispositivos móveis, equipamentos de rede e serviços, de forma proporcional ao risco e à capacidade técnica?</w:t>
      </w:r>
    </w:p>
    <w:p>
      <w:pPr>
        <w:spacing w:after="20"/>
      </w:pPr>
      <w:r>
        <w:rPr>
          <w:rFonts w:ascii="Liberation Sans" w:hAnsi="Liberation Sans"/>
          <w:b/>
          <w:color w:val="0F172A"/>
          <w:sz w:val="16"/>
        </w:rPr>
        <w:t>• Baseline de Configuração Segura por Tecnologia</w:t>
      </w:r>
      <w:r>
        <w:rPr>
          <w:rFonts w:ascii="Liberation Sans" w:hAnsi="Liberation Sans"/>
          <w:color w:val="475569"/>
          <w:sz w:val="16"/>
        </w:rPr>
        <w:t xml:space="preserve"> — Definir um conjunto mínimo e proporcional de configurações seguras para os tipos de tecnologia realmente usados pela clínica.</w:t>
      </w:r>
    </w:p>
    <w:p>
      <w:pPr>
        <w:spacing w:after="20"/>
      </w:pPr>
      <w:r>
        <w:rPr>
          <w:rFonts w:ascii="Liberation Sans" w:hAnsi="Liberation Sans"/>
          <w:b/>
          <w:color w:val="0F172A"/>
          <w:sz w:val="16"/>
        </w:rPr>
        <w:t>• Checklist de Implantação de Configuração Segura</w:t>
      </w:r>
      <w:r>
        <w:rPr>
          <w:rFonts w:ascii="Liberation Sans" w:hAnsi="Liberation Sans"/>
          <w:color w:val="475569"/>
          <w:sz w:val="16"/>
        </w:rPr>
        <w:t xml:space="preserve"> — Evitar que ativos novos ou reinstalados entrem em produção apenas com configurações padrão.</w:t>
      </w:r>
    </w:p>
    <w:p>
      <w:pPr>
        <w:spacing w:after="20"/>
      </w:pPr>
      <w:r>
        <w:rPr>
          <w:rFonts w:ascii="Liberation Sans" w:hAnsi="Liberation Sans"/>
          <w:b/>
          <w:color w:val="0F172A"/>
          <w:sz w:val="16"/>
        </w:rPr>
        <w:t>• Registro de Exceções de Hardening</w:t>
      </w:r>
      <w:r>
        <w:rPr>
          <w:rFonts w:ascii="Liberation Sans" w:hAnsi="Liberation Sans"/>
          <w:color w:val="475569"/>
          <w:sz w:val="16"/>
        </w:rPr>
        <w:t xml:space="preserve"> — Documentar quando um requisito de configuração segura não puder ser aplicado e impedir que a exceção vire permanente sem revisão.</w:t>
      </w:r>
    </w:p>
    <w:p>
      <w:pPr>
        <w:spacing w:after="20"/>
      </w:pPr>
      <w:r>
        <w:rPr>
          <w:rFonts w:ascii="Liberation Sans" w:hAnsi="Liberation Sans"/>
          <w:b/>
          <w:color w:val="0F172A"/>
          <w:sz w:val="16"/>
        </w:rPr>
        <w:t>• Roteiro de Revisão das Baselines de Hardening</w:t>
      </w:r>
      <w:r>
        <w:rPr>
          <w:rFonts w:ascii="Liberation Sans" w:hAnsi="Liberation Sans"/>
          <w:color w:val="475569"/>
          <w:sz w:val="16"/>
        </w:rPr>
        <w:t xml:space="preserve"> — Revisar as baselines após mudanças relevantes e em periodicidade definida pela organização.</w:t>
      </w:r>
    </w:p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21"/>
        </w:rPr>
        <w:t>Q48 — Sistemas operacionais, aplicativos, navegadores e componentes recebem atualizações e correções de segurança de forma controlada?</w:t>
      </w:r>
    </w:p>
    <w:p>
      <w:pPr>
        <w:spacing w:after="20"/>
      </w:pPr>
      <w:r>
        <w:rPr>
          <w:rFonts w:ascii="Liberation Sans" w:hAnsi="Liberation Sans"/>
          <w:b/>
          <w:color w:val="0F172A"/>
          <w:sz w:val="16"/>
        </w:rPr>
        <w:t>• Procedimento de Gestão de Atualizações e Correções</w:t>
      </w:r>
      <w:r>
        <w:rPr>
          <w:rFonts w:ascii="Liberation Sans" w:hAnsi="Liberation Sans"/>
          <w:color w:val="475569"/>
          <w:sz w:val="16"/>
        </w:rPr>
        <w:t xml:space="preserve"> — Criar um fluxo simples para identificar, priorizar, testar, aplicar e verificar atualizações sem comprometer a continuidade clínica.</w:t>
      </w:r>
    </w:p>
    <w:p>
      <w:pPr>
        <w:spacing w:after="20"/>
      </w:pPr>
      <w:r>
        <w:rPr>
          <w:rFonts w:ascii="Liberation Sans" w:hAnsi="Liberation Sans"/>
          <w:b/>
          <w:color w:val="0F172A"/>
          <w:sz w:val="16"/>
        </w:rPr>
        <w:t>• Calendário e Inventário de Atualizações Pendentes</w:t>
      </w:r>
      <w:r>
        <w:rPr>
          <w:rFonts w:ascii="Liberation Sans" w:hAnsi="Liberation Sans"/>
          <w:color w:val="475569"/>
          <w:sz w:val="16"/>
        </w:rPr>
        <w:t xml:space="preserve"> — Dar visibilidade do que está atualizado, pendente, adiado e fora do processo.</w:t>
      </w:r>
    </w:p>
    <w:p>
      <w:pPr>
        <w:spacing w:after="20"/>
      </w:pPr>
      <w:r>
        <w:rPr>
          <w:rFonts w:ascii="Liberation Sans" w:hAnsi="Liberation Sans"/>
          <w:b/>
          <w:color w:val="0F172A"/>
          <w:sz w:val="16"/>
        </w:rPr>
        <w:t>• Checklist de Teste e Implantação de Patch</w:t>
      </w:r>
      <w:r>
        <w:rPr>
          <w:rFonts w:ascii="Liberation Sans" w:hAnsi="Liberation Sans"/>
          <w:color w:val="475569"/>
          <w:sz w:val="16"/>
        </w:rPr>
        <w:t xml:space="preserve"> — Reduzir indisponibilidade e garantir evidência mínima de uma atualização controlada.</w:t>
      </w:r>
    </w:p>
    <w:p>
      <w:pPr>
        <w:spacing w:after="20"/>
      </w:pPr>
      <w:r>
        <w:rPr>
          <w:rFonts w:ascii="Liberation Sans" w:hAnsi="Liberation Sans"/>
          <w:b/>
          <w:color w:val="0F172A"/>
          <w:sz w:val="16"/>
        </w:rPr>
        <w:t>• Registro de Adiamento ou Exceção de Atualização</w:t>
      </w:r>
      <w:r>
        <w:rPr>
          <w:rFonts w:ascii="Liberation Sans" w:hAnsi="Liberation Sans"/>
          <w:color w:val="475569"/>
          <w:sz w:val="16"/>
        </w:rPr>
        <w:t xml:space="preserve"> — Controlar patches que não podem ser aplicados imediatamente, com prazo e mitigação explícitos.</w:t>
      </w:r>
    </w:p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21"/>
        </w:rPr>
        <w:t>Q49 — Sistemas e equipamentos sem suporte do fabricante são identificados e possuem medidas de compensação ou plano de substituição?</w:t>
      </w:r>
    </w:p>
    <w:p>
      <w:pPr>
        <w:spacing w:after="20"/>
      </w:pPr>
      <w:r>
        <w:rPr>
          <w:rFonts w:ascii="Liberation Sans" w:hAnsi="Liberation Sans"/>
          <w:b/>
          <w:color w:val="0F172A"/>
          <w:sz w:val="16"/>
        </w:rPr>
        <w:t>• Inventário de Ciclo de Vida e Suporte</w:t>
      </w:r>
      <w:r>
        <w:rPr>
          <w:rFonts w:ascii="Liberation Sans" w:hAnsi="Liberation Sans"/>
          <w:color w:val="475569"/>
          <w:sz w:val="16"/>
        </w:rPr>
        <w:t xml:space="preserve"> — Identificar sistemas e equipamentos próximos ou além do fim de suporte antes que se tornem risco invisível.</w:t>
      </w:r>
    </w:p>
    <w:p>
      <w:pPr>
        <w:spacing w:after="20"/>
      </w:pPr>
      <w:r>
        <w:rPr>
          <w:rFonts w:ascii="Liberation Sans" w:hAnsi="Liberation Sans"/>
          <w:b/>
          <w:color w:val="0F172A"/>
          <w:sz w:val="16"/>
        </w:rPr>
        <w:t>• Avaliação de Risco de Ativo sem Suporte</w:t>
      </w:r>
      <w:r>
        <w:rPr>
          <w:rFonts w:ascii="Liberation Sans" w:hAnsi="Liberation Sans"/>
          <w:color w:val="475569"/>
          <w:sz w:val="16"/>
        </w:rPr>
        <w:t xml:space="preserve"> — Registrar por que um legado ainda existe e quais fatores aumentam ou reduzem seu risco.</w:t>
      </w:r>
    </w:p>
    <w:p>
      <w:pPr>
        <w:spacing w:after="20"/>
      </w:pPr>
      <w:r>
        <w:rPr>
          <w:rFonts w:ascii="Liberation Sans" w:hAnsi="Liberation Sans"/>
          <w:b/>
          <w:color w:val="0F172A"/>
          <w:sz w:val="16"/>
        </w:rPr>
        <w:t>• Plano de Substituição de Sistemas e Equipamentos Legados</w:t>
      </w:r>
      <w:r>
        <w:rPr>
          <w:rFonts w:ascii="Liberation Sans" w:hAnsi="Liberation Sans"/>
          <w:color w:val="475569"/>
          <w:sz w:val="16"/>
        </w:rPr>
        <w:t xml:space="preserve"> — Transformar o conhecimento de itens sem suporte em um roteiro realista de renovação.</w:t>
      </w:r>
    </w:p>
    <w:p>
      <w:pPr>
        <w:spacing w:after="20"/>
      </w:pPr>
      <w:r>
        <w:rPr>
          <w:rFonts w:ascii="Liberation Sans" w:hAnsi="Liberation Sans"/>
          <w:b/>
          <w:color w:val="0F172A"/>
          <w:sz w:val="16"/>
        </w:rPr>
        <w:t>• Checklist de Validação de Suporte do Fabricante/Fornecedor</w:t>
      </w:r>
      <w:r>
        <w:rPr>
          <w:rFonts w:ascii="Liberation Sans" w:hAnsi="Liberation Sans"/>
          <w:color w:val="475569"/>
          <w:sz w:val="16"/>
        </w:rPr>
        <w:t xml:space="preserve"> — Obter evidências objetivas sobre suporte, versões e caminho de atualização/substituição.</w:t>
      </w:r>
    </w:p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21"/>
        </w:rPr>
        <w:t>Q50 — Estações e servidores possuem mecanismos atualizados de prevenção, detecção e/ou contenção de códigos maliciosos ou ameaças de endpoint, conforme aplicável?</w:t>
      </w:r>
    </w:p>
    <w:p>
      <w:pPr>
        <w:spacing w:after="20"/>
      </w:pPr>
      <w:r>
        <w:rPr>
          <w:rFonts w:ascii="Liberation Sans" w:hAnsi="Liberation Sans"/>
          <w:b/>
          <w:color w:val="0F172A"/>
          <w:sz w:val="16"/>
        </w:rPr>
        <w:t>• Inventário de Cobertura de Proteção de Endpoints</w:t>
      </w:r>
      <w:r>
        <w:rPr>
          <w:rFonts w:ascii="Liberation Sans" w:hAnsi="Liberation Sans"/>
          <w:color w:val="475569"/>
          <w:sz w:val="16"/>
        </w:rPr>
        <w:t xml:space="preserve"> — Mostrar quais estações e servidores estão efetivamente protegidos e quais estão fora da cobertura.</w:t>
      </w:r>
    </w:p>
    <w:p>
      <w:pPr>
        <w:spacing w:after="20"/>
      </w:pPr>
      <w:r>
        <w:rPr>
          <w:rFonts w:ascii="Liberation Sans" w:hAnsi="Liberation Sans"/>
          <w:b/>
          <w:color w:val="0F172A"/>
          <w:sz w:val="16"/>
        </w:rPr>
        <w:t>• Checklist de Baseline de Proteção de Endpoint</w:t>
      </w:r>
      <w:r>
        <w:rPr>
          <w:rFonts w:ascii="Liberation Sans" w:hAnsi="Liberation Sans"/>
          <w:color w:val="475569"/>
          <w:sz w:val="16"/>
        </w:rPr>
        <w:t xml:space="preserve"> — Verificar se a ferramenta está instalada e também configurada/operante no nível esperado.</w:t>
      </w:r>
    </w:p>
    <w:p>
      <w:pPr>
        <w:spacing w:after="20"/>
      </w:pPr>
      <w:r>
        <w:rPr>
          <w:rFonts w:ascii="Liberation Sans" w:hAnsi="Liberation Sans"/>
          <w:b/>
          <w:color w:val="0F172A"/>
          <w:sz w:val="16"/>
        </w:rPr>
        <w:t>• Registro de Exclusões e Exceções de Proteção de Endpoint</w:t>
      </w:r>
      <w:r>
        <w:rPr>
          <w:rFonts w:ascii="Liberation Sans" w:hAnsi="Liberation Sans"/>
          <w:color w:val="475569"/>
          <w:sz w:val="16"/>
        </w:rPr>
        <w:t xml:space="preserve"> — Controlar exclusões de antivírus/EDR e ativos que não suportam o mecanismo padrão.</w:t>
      </w:r>
    </w:p>
    <w:p>
      <w:pPr>
        <w:spacing w:after="20"/>
      </w:pPr>
      <w:r>
        <w:rPr>
          <w:rFonts w:ascii="Liberation Sans" w:hAnsi="Liberation Sans"/>
          <w:b/>
          <w:color w:val="0F172A"/>
          <w:sz w:val="16"/>
        </w:rPr>
        <w:t>• Registro de Triagem de Alertas de Endpoint</w:t>
      </w:r>
      <w:r>
        <w:rPr>
          <w:rFonts w:ascii="Liberation Sans" w:hAnsi="Liberation Sans"/>
          <w:color w:val="475569"/>
          <w:sz w:val="16"/>
        </w:rPr>
        <w:t xml:space="preserve"> — Dar rastreabilidade ao tratamento de alertas relevantes gerados por antivírus/EDR.</w:t>
      </w:r>
    </w:p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21"/>
        </w:rPr>
        <w:t>Q51 — Existe firewall ou mecanismo equivalente, com regras restritivas, documentadas e revisadas periodicamente?</w:t>
      </w:r>
    </w:p>
    <w:p>
      <w:pPr>
        <w:spacing w:after="20"/>
      </w:pPr>
      <w:r>
        <w:rPr>
          <w:rFonts w:ascii="Liberation Sans" w:hAnsi="Liberation Sans"/>
          <w:b/>
          <w:color w:val="0F172A"/>
          <w:sz w:val="16"/>
        </w:rPr>
        <w:t>• Matriz de Regras de Firewall</w:t>
      </w:r>
      <w:r>
        <w:rPr>
          <w:rFonts w:ascii="Liberation Sans" w:hAnsi="Liberation Sans"/>
          <w:color w:val="475569"/>
          <w:sz w:val="16"/>
        </w:rPr>
        <w:t xml:space="preserve"> — Registrar regras relevantes com justificativa, responsável e validade, facilitando revisão e remoção.</w:t>
      </w:r>
    </w:p>
    <w:p>
      <w:pPr>
        <w:spacing w:after="20"/>
      </w:pPr>
      <w:r>
        <w:rPr>
          <w:rFonts w:ascii="Liberation Sans" w:hAnsi="Liberation Sans"/>
          <w:b/>
          <w:color w:val="0F172A"/>
          <w:sz w:val="16"/>
        </w:rPr>
        <w:t>• Formulário de Solicitação de Mudança de Firewall</w:t>
      </w:r>
      <w:r>
        <w:rPr>
          <w:rFonts w:ascii="Liberation Sans" w:hAnsi="Liberation Sans"/>
          <w:color w:val="475569"/>
          <w:sz w:val="16"/>
        </w:rPr>
        <w:t xml:space="preserve"> — Padronizar criação, alteração e remoção de regra com teste e retorno previstos.</w:t>
      </w:r>
    </w:p>
    <w:p>
      <w:pPr>
        <w:spacing w:after="20"/>
      </w:pPr>
      <w:r>
        <w:rPr>
          <w:rFonts w:ascii="Liberation Sans" w:hAnsi="Liberation Sans"/>
          <w:b/>
          <w:color w:val="0F172A"/>
          <w:sz w:val="16"/>
        </w:rPr>
        <w:t>• Checklist de Revisão Periódica de Firewall</w:t>
      </w:r>
      <w:r>
        <w:rPr>
          <w:rFonts w:ascii="Liberation Sans" w:hAnsi="Liberation Sans"/>
          <w:color w:val="475569"/>
          <w:sz w:val="16"/>
        </w:rPr>
        <w:t xml:space="preserve"> — Encontrar regras antigas, excessivas ou sem justificativa antes que permaneçam indefinidamente.</w:t>
      </w:r>
    </w:p>
    <w:p>
      <w:pPr>
        <w:spacing w:after="20"/>
      </w:pPr>
      <w:r>
        <w:rPr>
          <w:rFonts w:ascii="Liberation Sans" w:hAnsi="Liberation Sans"/>
          <w:b/>
          <w:color w:val="0F172A"/>
          <w:sz w:val="16"/>
        </w:rPr>
        <w:t>• Registro de Regra Temporária e Exceção de Firewall</w:t>
      </w:r>
      <w:r>
        <w:rPr>
          <w:rFonts w:ascii="Liberation Sans" w:hAnsi="Liberation Sans"/>
          <w:color w:val="475569"/>
          <w:sz w:val="16"/>
        </w:rPr>
        <w:t xml:space="preserve"> — Garantir que abertura excepcional tenha dono, prazo e remoção planejada.</w:t>
      </w:r>
    </w:p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21"/>
        </w:rPr>
        <w:t>Q52 — A rede é segmentada conforme a finalidade, criticidade e nível de confiança dos ativos e usuários?</w:t>
      </w:r>
    </w:p>
    <w:p>
      <w:pPr>
        <w:spacing w:after="20"/>
      </w:pPr>
      <w:r>
        <w:rPr>
          <w:rFonts w:ascii="Liberation Sans" w:hAnsi="Liberation Sans"/>
          <w:b/>
          <w:color w:val="0F172A"/>
          <w:sz w:val="16"/>
        </w:rPr>
        <w:t>• Matriz de Zonas e Segmentação de Rede</w:t>
      </w:r>
      <w:r>
        <w:rPr>
          <w:rFonts w:ascii="Liberation Sans" w:hAnsi="Liberation Sans"/>
          <w:color w:val="475569"/>
          <w:sz w:val="16"/>
        </w:rPr>
        <w:t xml:space="preserve"> — Definir zonas coerentes com finalidade, criticidade e confiança sem pressupor uma arquitetura complexa.</w:t>
      </w:r>
    </w:p>
    <w:p>
      <w:pPr>
        <w:spacing w:after="20"/>
      </w:pPr>
      <w:r>
        <w:rPr>
          <w:rFonts w:ascii="Liberation Sans" w:hAnsi="Liberation Sans"/>
          <w:b/>
          <w:color w:val="0F172A"/>
          <w:sz w:val="16"/>
        </w:rPr>
        <w:t>• Mapa de Fluxos Permitidos entre Segmentos</w:t>
      </w:r>
      <w:r>
        <w:rPr>
          <w:rFonts w:ascii="Liberation Sans" w:hAnsi="Liberation Sans"/>
          <w:color w:val="475569"/>
          <w:sz w:val="16"/>
        </w:rPr>
        <w:t xml:space="preserve"> — Documentar os fluxos realmente necessários para atendimento, integração e administração.</w:t>
      </w:r>
    </w:p>
    <w:p>
      <w:pPr>
        <w:spacing w:after="20"/>
      </w:pPr>
      <w:r>
        <w:rPr>
          <w:rFonts w:ascii="Liberation Sans" w:hAnsi="Liberation Sans"/>
          <w:b/>
          <w:color w:val="0F172A"/>
          <w:sz w:val="16"/>
        </w:rPr>
        <w:t>• Checklist de Validação da Segmentação</w:t>
      </w:r>
      <w:r>
        <w:rPr>
          <w:rFonts w:ascii="Liberation Sans" w:hAnsi="Liberation Sans"/>
          <w:color w:val="475569"/>
          <w:sz w:val="16"/>
        </w:rPr>
        <w:t xml:space="preserve"> — Revisar se a segmentação existe na prática e se regras entre zonas seguem necessidade mínima.</w:t>
      </w:r>
    </w:p>
    <w:p>
      <w:pPr>
        <w:spacing w:after="20"/>
      </w:pPr>
      <w:r>
        <w:rPr>
          <w:rFonts w:ascii="Liberation Sans" w:hAnsi="Liberation Sans"/>
          <w:b/>
          <w:color w:val="0F172A"/>
          <w:sz w:val="16"/>
        </w:rPr>
        <w:t>• Registro de Exceções e Integrações na Segmentação</w:t>
      </w:r>
      <w:r>
        <w:rPr>
          <w:rFonts w:ascii="Liberation Sans" w:hAnsi="Liberation Sans"/>
          <w:color w:val="475569"/>
          <w:sz w:val="16"/>
        </w:rPr>
        <w:t xml:space="preserve"> — Controlar fluxos permissivos ou integrações legadas que impedem segmentação ideal.</w:t>
      </w:r>
    </w:p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21"/>
        </w:rPr>
        <w:t>Q53 — Equipamentos médicos e sistemas legados com limitações de atualização ou suporte possuem análise de risco e controles compensatórios definidos, como isolamento, segmentação, restrição de acesso ou medidas acordadas com fornecedores quando necessário?</w:t>
      </w:r>
    </w:p>
    <w:p>
      <w:pPr>
        <w:spacing w:after="20"/>
      </w:pPr>
      <w:r>
        <w:rPr>
          <w:rFonts w:ascii="Liberation Sans" w:hAnsi="Liberation Sans"/>
          <w:b/>
          <w:color w:val="0F172A"/>
          <w:sz w:val="16"/>
        </w:rPr>
        <w:t>• Avaliação de Risco de Legado ou Equipamento Médico</w:t>
      </w:r>
      <w:r>
        <w:rPr>
          <w:rFonts w:ascii="Liberation Sans" w:hAnsi="Liberation Sans"/>
          <w:color w:val="475569"/>
          <w:sz w:val="16"/>
        </w:rPr>
        <w:t xml:space="preserve"> — Avaliar exposição e dependências de equipamentos/sistemas com limitações de atualização sem aprofundar na segurança interna da modalidade.</w:t>
      </w:r>
    </w:p>
    <w:p>
      <w:pPr>
        <w:spacing w:after="20"/>
      </w:pPr>
      <w:r>
        <w:rPr>
          <w:rFonts w:ascii="Liberation Sans" w:hAnsi="Liberation Sans"/>
          <w:b/>
          <w:color w:val="0F172A"/>
          <w:sz w:val="16"/>
        </w:rPr>
        <w:t>• Plano de Controles Compensatórios para Legados</w:t>
      </w:r>
      <w:r>
        <w:rPr>
          <w:rFonts w:ascii="Liberation Sans" w:hAnsi="Liberation Sans"/>
          <w:color w:val="475569"/>
          <w:sz w:val="16"/>
        </w:rPr>
        <w:t xml:space="preserve"> — Transformar uma limitação técnica em ações concretas de redução de exposição.</w:t>
      </w:r>
    </w:p>
    <w:p>
      <w:pPr>
        <w:spacing w:after="20"/>
      </w:pPr>
      <w:r>
        <w:rPr>
          <w:rFonts w:ascii="Liberation Sans" w:hAnsi="Liberation Sans"/>
          <w:b/>
          <w:color w:val="0F172A"/>
          <w:sz w:val="16"/>
        </w:rPr>
        <w:t>• Registro de Coordenação com Fornecedor para Legado</w:t>
      </w:r>
      <w:r>
        <w:rPr>
          <w:rFonts w:ascii="Liberation Sans" w:hAnsi="Liberation Sans"/>
          <w:color w:val="475569"/>
          <w:sz w:val="16"/>
        </w:rPr>
        <w:t xml:space="preserve"> — Guardar orientações e decisões técnicas fornecidas por fabricante/suporte para itens com restrições.</w:t>
      </w:r>
    </w:p>
    <w:p>
      <w:pPr>
        <w:spacing w:after="20"/>
      </w:pPr>
      <w:r>
        <w:rPr>
          <w:rFonts w:ascii="Liberation Sans" w:hAnsi="Liberation Sans"/>
          <w:b/>
          <w:color w:val="0F172A"/>
          <w:sz w:val="16"/>
        </w:rPr>
        <w:t>• Checklist de Revisão de Legados e Controles Compensatórios</w:t>
      </w:r>
      <w:r>
        <w:rPr>
          <w:rFonts w:ascii="Liberation Sans" w:hAnsi="Liberation Sans"/>
          <w:color w:val="475569"/>
          <w:sz w:val="16"/>
        </w:rPr>
        <w:t xml:space="preserve"> — Verificar periodicamente se o risco, suporte e compensações continuam válidos.</w:t>
      </w:r>
    </w:p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21"/>
        </w:rPr>
        <w:t>Q54 — O acesso remoto à infraestrutura e aos sistemas utiliza meios seguros e evita a exposição direta de serviços administrativos à internet?</w:t>
      </w:r>
    </w:p>
    <w:p>
      <w:pPr>
        <w:spacing w:after="20"/>
      </w:pPr>
      <w:r>
        <w:rPr>
          <w:rFonts w:ascii="Liberation Sans" w:hAnsi="Liberation Sans"/>
          <w:b/>
          <w:color w:val="0F172A"/>
          <w:sz w:val="16"/>
        </w:rPr>
        <w:t>• Padrão de Acesso Remoto Seguro</w:t>
      </w:r>
      <w:r>
        <w:rPr>
          <w:rFonts w:ascii="Liberation Sans" w:hAnsi="Liberation Sans"/>
          <w:color w:val="475569"/>
          <w:sz w:val="16"/>
        </w:rPr>
        <w:t xml:space="preserve"> — Definir meios permitidos para administração e suporte remoto, evitando exposição direta de serviços administrativos.</w:t>
      </w:r>
    </w:p>
    <w:p>
      <w:pPr>
        <w:spacing w:after="20"/>
      </w:pPr>
      <w:r>
        <w:rPr>
          <w:rFonts w:ascii="Liberation Sans" w:hAnsi="Liberation Sans"/>
          <w:b/>
          <w:color w:val="0F172A"/>
          <w:sz w:val="16"/>
        </w:rPr>
        <w:t>• Registro de Acessos Remotos Autorizados</w:t>
      </w:r>
      <w:r>
        <w:rPr>
          <w:rFonts w:ascii="Liberation Sans" w:hAnsi="Liberation Sans"/>
          <w:color w:val="475569"/>
          <w:sz w:val="16"/>
        </w:rPr>
        <w:t xml:space="preserve"> — Manter visibilidade sobre quem pode entrar remotamente, por qual meio e até quando.</w:t>
      </w:r>
    </w:p>
    <w:p>
      <w:pPr>
        <w:spacing w:after="20"/>
      </w:pPr>
      <w:r>
        <w:rPr>
          <w:rFonts w:ascii="Liberation Sans" w:hAnsi="Liberation Sans"/>
          <w:b/>
          <w:color w:val="0F172A"/>
          <w:sz w:val="16"/>
        </w:rPr>
        <w:t>• Checklist de Verificação de Acesso Remoto</w:t>
      </w:r>
      <w:r>
        <w:rPr>
          <w:rFonts w:ascii="Liberation Sans" w:hAnsi="Liberation Sans"/>
          <w:color w:val="475569"/>
          <w:sz w:val="16"/>
        </w:rPr>
        <w:t xml:space="preserve"> — Verificar configurações e evidências sem depender de varredura invasiva.</w:t>
      </w:r>
    </w:p>
    <w:p>
      <w:pPr>
        <w:spacing w:after="20"/>
      </w:pPr>
      <w:r>
        <w:rPr>
          <w:rFonts w:ascii="Liberation Sans" w:hAnsi="Liberation Sans"/>
          <w:b/>
          <w:color w:val="0F172A"/>
          <w:sz w:val="16"/>
        </w:rPr>
        <w:t>• Formulário de Autorização e Encerramento de Sessão Remota de Terceiro</w:t>
      </w:r>
      <w:r>
        <w:rPr>
          <w:rFonts w:ascii="Liberation Sans" w:hAnsi="Liberation Sans"/>
          <w:color w:val="475569"/>
          <w:sz w:val="16"/>
        </w:rPr>
        <w:t xml:space="preserve"> — Controlar acessos pontuais de suporte e deixar evidência de abertura, uso e encerramento.</w:t>
      </w:r>
    </w:p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21"/>
        </w:rPr>
        <w:t>Q55 — O uso de dispositivos removíveis e mídias externas é restrito, autorizado e monitorado conforme o risco?</w:t>
      </w:r>
    </w:p>
    <w:p>
      <w:pPr>
        <w:spacing w:after="20"/>
      </w:pPr>
      <w:r>
        <w:rPr>
          <w:rFonts w:ascii="Liberation Sans" w:hAnsi="Liberation Sans"/>
          <w:b/>
          <w:color w:val="0F172A"/>
          <w:sz w:val="16"/>
        </w:rPr>
        <w:t>• Política Simplificada de Uso de Mídias Removíveis</w:t>
      </w:r>
      <w:r>
        <w:rPr>
          <w:rFonts w:ascii="Liberation Sans" w:hAnsi="Liberation Sans"/>
          <w:color w:val="475569"/>
          <w:sz w:val="16"/>
        </w:rPr>
        <w:t xml:space="preserve"> — Definir quando USB, HD externo e outras mídias podem ser usados e quais cuidados mínimos são obrigatórios.</w:t>
      </w:r>
    </w:p>
    <w:p>
      <w:pPr>
        <w:spacing w:after="20"/>
      </w:pPr>
      <w:r>
        <w:rPr>
          <w:rFonts w:ascii="Liberation Sans" w:hAnsi="Liberation Sans"/>
          <w:b/>
          <w:color w:val="0F172A"/>
          <w:sz w:val="16"/>
        </w:rPr>
        <w:t>• Formulário de Autorização de Mídia Removível</w:t>
      </w:r>
      <w:r>
        <w:rPr>
          <w:rFonts w:ascii="Liberation Sans" w:hAnsi="Liberation Sans"/>
          <w:color w:val="475569"/>
          <w:sz w:val="16"/>
        </w:rPr>
        <w:t xml:space="preserve"> — Registrar exceções ou necessidades legítimas de uso de mídia externa.</w:t>
      </w:r>
    </w:p>
    <w:p>
      <w:pPr>
        <w:spacing w:after="20"/>
      </w:pPr>
      <w:r>
        <w:rPr>
          <w:rFonts w:ascii="Liberation Sans" w:hAnsi="Liberation Sans"/>
          <w:b/>
          <w:color w:val="0F172A"/>
          <w:sz w:val="16"/>
        </w:rPr>
        <w:t>• Registro de Custódia de Mídias Removíveis</w:t>
      </w:r>
      <w:r>
        <w:rPr>
          <w:rFonts w:ascii="Liberation Sans" w:hAnsi="Liberation Sans"/>
          <w:color w:val="475569"/>
          <w:sz w:val="16"/>
        </w:rPr>
        <w:t xml:space="preserve"> — Acompanhar mídias autorizadas que armazenam configuração, backup, exportações ou dados sensíveis.</w:t>
      </w:r>
    </w:p>
    <w:p>
      <w:pPr>
        <w:spacing w:after="20"/>
      </w:pPr>
      <w:r>
        <w:rPr>
          <w:rFonts w:ascii="Liberation Sans" w:hAnsi="Liberation Sans"/>
          <w:b/>
          <w:color w:val="0F172A"/>
          <w:sz w:val="16"/>
        </w:rPr>
        <w:t>• Checklist de Uso e Transferência Segura por Mídia</w:t>
      </w:r>
      <w:r>
        <w:rPr>
          <w:rFonts w:ascii="Liberation Sans" w:hAnsi="Liberation Sans"/>
          <w:color w:val="475569"/>
          <w:sz w:val="16"/>
        </w:rPr>
        <w:t xml:space="preserve"> — Orientar a operação antes, durante e depois de uma transferência autorizada.</w:t>
      </w:r>
    </w:p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21"/>
        </w:rPr>
        <w:t>Q56 — O uso cotidiano é realizado sem privilégios administrativos desnecessários e existem controles para impedir alterações não autorizadas em estações e dispositivos?</w:t>
      </w:r>
    </w:p>
    <w:p>
      <w:pPr>
        <w:spacing w:after="20"/>
      </w:pPr>
      <w:r>
        <w:rPr>
          <w:rFonts w:ascii="Liberation Sans" w:hAnsi="Liberation Sans"/>
          <w:b/>
          <w:color w:val="0F172A"/>
          <w:sz w:val="16"/>
        </w:rPr>
        <w:t>• Inventário de Privilégios Administrativos Locais</w:t>
      </w:r>
      <w:r>
        <w:rPr>
          <w:rFonts w:ascii="Liberation Sans" w:hAnsi="Liberation Sans"/>
          <w:color w:val="475569"/>
          <w:sz w:val="16"/>
        </w:rPr>
        <w:t xml:space="preserve"> — Identificar pessoas e contas com privilégio administrativo em estações e servidores e justificar exceções.</w:t>
      </w:r>
    </w:p>
    <w:p>
      <w:pPr>
        <w:spacing w:after="20"/>
      </w:pPr>
      <w:r>
        <w:rPr>
          <w:rFonts w:ascii="Liberation Sans" w:hAnsi="Liberation Sans"/>
          <w:b/>
          <w:color w:val="0F172A"/>
          <w:sz w:val="16"/>
        </w:rPr>
        <w:t>• Formulário de Elevação Temporária de Privilégio</w:t>
      </w:r>
      <w:r>
        <w:rPr>
          <w:rFonts w:ascii="Liberation Sans" w:hAnsi="Liberation Sans"/>
          <w:color w:val="475569"/>
          <w:sz w:val="16"/>
        </w:rPr>
        <w:t xml:space="preserve"> — Permitir intervenção administrativa pontual sem tornar o usuário administrador permanente.</w:t>
      </w:r>
    </w:p>
    <w:p>
      <w:pPr>
        <w:spacing w:after="20"/>
      </w:pPr>
      <w:r>
        <w:rPr>
          <w:rFonts w:ascii="Liberation Sans" w:hAnsi="Liberation Sans"/>
          <w:b/>
          <w:color w:val="0F172A"/>
          <w:sz w:val="16"/>
        </w:rPr>
        <w:t>• Checklist de Privilégio Mínimo em Estações</w:t>
      </w:r>
      <w:r>
        <w:rPr>
          <w:rFonts w:ascii="Liberation Sans" w:hAnsi="Liberation Sans"/>
          <w:color w:val="475569"/>
          <w:sz w:val="16"/>
        </w:rPr>
        <w:t xml:space="preserve"> — Verificar se o uso cotidiano ocorre com conta padrão e se alterações relevantes exigem credencial apropriada.</w:t>
      </w:r>
    </w:p>
    <w:p>
      <w:pPr>
        <w:spacing w:after="20"/>
      </w:pPr>
      <w:r>
        <w:rPr>
          <w:rFonts w:ascii="Liberation Sans" w:hAnsi="Liberation Sans"/>
          <w:b/>
          <w:color w:val="0F172A"/>
          <w:sz w:val="16"/>
        </w:rPr>
        <w:t>• Registro de Revisão e Exceções de Privilégio Administrativo</w:t>
      </w:r>
      <w:r>
        <w:rPr>
          <w:rFonts w:ascii="Liberation Sans" w:hAnsi="Liberation Sans"/>
          <w:color w:val="475569"/>
          <w:sz w:val="16"/>
        </w:rPr>
        <w:t xml:space="preserve"> — Controlar exceções permanentes e comprovar a revisão periódica de privilégios.</w:t>
      </w:r>
    </w:p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21"/>
        </w:rPr>
        <w:t>Q57 — Salas de servidores, racks, equipamentos de rede e mídias de backup possuem controle de acesso físico e proteção ambiental?</w:t>
      </w:r>
    </w:p>
    <w:p>
      <w:pPr>
        <w:spacing w:after="20"/>
      </w:pPr>
      <w:r>
        <w:rPr>
          <w:rFonts w:ascii="Liberation Sans" w:hAnsi="Liberation Sans"/>
          <w:b/>
          <w:color w:val="0F172A"/>
          <w:sz w:val="16"/>
        </w:rPr>
        <w:t>• Checklist de Sala de Servidores, Rack e Ambiente</w:t>
      </w:r>
      <w:r>
        <w:rPr>
          <w:rFonts w:ascii="Liberation Sans" w:hAnsi="Liberation Sans"/>
          <w:color w:val="475569"/>
          <w:sz w:val="16"/>
        </w:rPr>
        <w:t xml:space="preserve"> — Avaliar controles físicos e ambientais proporcionais ao tamanho da clínica.</w:t>
      </w:r>
    </w:p>
    <w:p>
      <w:pPr>
        <w:spacing w:after="20"/>
      </w:pPr>
      <w:r>
        <w:rPr>
          <w:rFonts w:ascii="Liberation Sans" w:hAnsi="Liberation Sans"/>
          <w:b/>
          <w:color w:val="0F172A"/>
          <w:sz w:val="16"/>
        </w:rPr>
        <w:t>• Registro de Acesso Físico a Áreas Críticas</w:t>
      </w:r>
      <w:r>
        <w:rPr>
          <w:rFonts w:ascii="Liberation Sans" w:hAnsi="Liberation Sans"/>
          <w:color w:val="475569"/>
          <w:sz w:val="16"/>
        </w:rPr>
        <w:t xml:space="preserve"> — Manter lista de pessoas autorizadas e registrar acessos de terceiros quando necessário.</w:t>
      </w:r>
    </w:p>
    <w:p>
      <w:pPr>
        <w:spacing w:after="20"/>
      </w:pPr>
      <w:r>
        <w:rPr>
          <w:rFonts w:ascii="Liberation Sans" w:hAnsi="Liberation Sans"/>
          <w:b/>
          <w:color w:val="0F172A"/>
          <w:sz w:val="16"/>
        </w:rPr>
        <w:t>• Registro de Inspeção de Energia e Condições Ambientais</w:t>
      </w:r>
      <w:r>
        <w:rPr>
          <w:rFonts w:ascii="Liberation Sans" w:hAnsi="Liberation Sans"/>
          <w:color w:val="475569"/>
          <w:sz w:val="16"/>
        </w:rPr>
        <w:t xml:space="preserve"> — Criar evidência simples de acompanhamento de energia, UPS/nobreak e condições do ambiente.</w:t>
      </w:r>
    </w:p>
    <w:p>
      <w:pPr>
        <w:spacing w:after="20"/>
      </w:pPr>
      <w:r>
        <w:rPr>
          <w:rFonts w:ascii="Liberation Sans" w:hAnsi="Liberation Sans"/>
          <w:b/>
          <w:color w:val="0F172A"/>
          <w:sz w:val="16"/>
        </w:rPr>
        <w:t>• Registro de Custódia Física de Mídias de Backup</w:t>
      </w:r>
      <w:r>
        <w:rPr>
          <w:rFonts w:ascii="Liberation Sans" w:hAnsi="Liberation Sans"/>
          <w:color w:val="475569"/>
          <w:sz w:val="16"/>
        </w:rPr>
        <w:t xml:space="preserve"> — Controlar onde ficam mídias físicas de backup, quem pode acessá-las e como são movimentadas.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