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34"/>
        </w:rPr>
        <w:t>GUIA DE USO DOS MATERIAIS — D06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20"/>
        </w:rPr>
        <w:t>Detecção e monitoramento | Questões 58 a 67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Os materiais são modelos próprios e editáveis. Eles apoiam verificação, implementação e evidência, mas não tornam um controle automaticamente nível 3. A pontuação continua dependendo da situação real e dos critérios do instrumento.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Q58 — Os sistemas críticos geram registros de eventos suficientes para apoiar a identificação e a investigação de incidentes?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Matriz de cobertura de logs de sistemas críticos: </w:t>
      </w:r>
      <w:r>
        <w:rPr>
          <w:rFonts w:ascii="Arial" w:hAnsi="Arial"/>
          <w:b w:val="0"/>
          <w:i w:val="0"/>
          <w:color w:val="1F2937"/>
          <w:sz w:val="16"/>
        </w:rPr>
        <w:t>Mapear quais sistemas críticos geram registros úteis, quais eventos estão habilitados e onde estão as lacunas de cobertura.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Checklist de configuração de logging: </w:t>
      </w:r>
      <w:r>
        <w:rPr>
          <w:rFonts w:ascii="Arial" w:hAnsi="Arial"/>
          <w:b w:val="0"/>
          <w:i w:val="0"/>
          <w:color w:val="1F2937"/>
          <w:sz w:val="16"/>
        </w:rPr>
        <w:t>Verificar se o logging está habilitado e configurado de forma suficiente para identificação e investigação de incidentes.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Registro de validação da utilidade dos logs: </w:t>
      </w:r>
      <w:r>
        <w:rPr>
          <w:rFonts w:ascii="Arial" w:hAnsi="Arial"/>
          <w:b w:val="0"/>
          <w:i w:val="0"/>
          <w:color w:val="1F2937"/>
          <w:sz w:val="16"/>
        </w:rPr>
        <w:t>Comprovar se os registros existentes permitem reconstruir um evento relevante.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Procedimento mínimo para geração e coleta de logs: </w:t>
      </w:r>
      <w:r>
        <w:rPr>
          <w:rFonts w:ascii="Arial" w:hAnsi="Arial"/>
          <w:b w:val="0"/>
          <w:i w:val="0"/>
          <w:color w:val="1F2937"/>
          <w:sz w:val="16"/>
        </w:rPr>
        <w:t>Formalizar uma rotina simples e proporcional para ativação, coleta, guarda e revisão de logs dos sistemas críticos.</w:t>
      </w:r>
    </w:p>
    <w:p>
      <w:r>
        <w:rPr>
          <w:rFonts w:ascii="Arial" w:hAnsi="Arial"/>
          <w:b/>
          <w:i w:val="0"/>
          <w:color w:val="17365D"/>
          <w:sz w:val="16"/>
        </w:rPr>
        <w:t xml:space="preserve">Evidência esperada no instrumento: </w:t>
      </w:r>
      <w:r>
        <w:rPr>
          <w:rFonts w:ascii="Arial" w:hAnsi="Arial"/>
          <w:b w:val="0"/>
          <w:i w:val="0"/>
          <w:color w:val="1F2937"/>
          <w:sz w:val="16"/>
        </w:rPr>
        <w:t>configuração de logging, exemplos de logs e cobertura de sistemas críticos</w:t>
      </w:r>
    </w:p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Q59 — As ações relevantes de usuários e administradores, incluindo acessos e alterações, são registradas quando tecnicamente possível?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Matriz de eventos auditáveis por sistema: </w:t>
      </w:r>
      <w:r>
        <w:rPr>
          <w:rFonts w:ascii="Arial" w:hAnsi="Arial"/>
          <w:b w:val="0"/>
          <w:i w:val="0"/>
          <w:color w:val="1F2937"/>
          <w:sz w:val="16"/>
        </w:rPr>
        <w:t>Definir quais ações de usuários e administradores precisam ser rastreáveis em cada sistema.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Checklist de rastreabilidade de ações: </w:t>
      </w:r>
      <w:r>
        <w:rPr>
          <w:rFonts w:ascii="Arial" w:hAnsi="Arial"/>
          <w:b w:val="0"/>
          <w:i w:val="0"/>
          <w:color w:val="1F2937"/>
          <w:sz w:val="16"/>
        </w:rPr>
        <w:t>Verificar se ações relevantes de usuários e administradores possuem trilha suficiente.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Registro de teste de trilha de auditoria: </w:t>
      </w:r>
      <w:r>
        <w:rPr>
          <w:rFonts w:ascii="Arial" w:hAnsi="Arial"/>
          <w:b w:val="0"/>
          <w:i w:val="0"/>
          <w:color w:val="1F2937"/>
          <w:sz w:val="16"/>
        </w:rPr>
        <w:t>Testar na prática se uma ação conhecida pode ser localizada e atribuída corretamente.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Procedimento para auditoria de ações privilegiadas: </w:t>
      </w:r>
      <w:r>
        <w:rPr>
          <w:rFonts w:ascii="Arial" w:hAnsi="Arial"/>
          <w:b w:val="0"/>
          <w:i w:val="0"/>
          <w:color w:val="1F2937"/>
          <w:sz w:val="16"/>
        </w:rPr>
        <w:t>Estabelecer como registrar, consultar e revisar ações administrativas relevantes sem exigir monitoramento contínuo complexo.</w:t>
      </w:r>
    </w:p>
    <w:p>
      <w:r>
        <w:rPr>
          <w:rFonts w:ascii="Arial" w:hAnsi="Arial"/>
          <w:b/>
          <w:i w:val="0"/>
          <w:color w:val="17365D"/>
          <w:sz w:val="16"/>
        </w:rPr>
        <w:t xml:space="preserve">Evidência esperada no instrumento: </w:t>
      </w:r>
      <w:r>
        <w:rPr>
          <w:rFonts w:ascii="Arial" w:hAnsi="Arial"/>
          <w:b w:val="0"/>
          <w:i w:val="0"/>
          <w:color w:val="1F2937"/>
          <w:sz w:val="16"/>
        </w:rPr>
        <w:t>logs de autenticação, alterações, administração, consultas/exportações</w:t>
      </w:r>
    </w:p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Q60 — Firewall, VPN, serviços de acesso remoto e equipamentos de rede mantêm registros compatíveis com os riscos do ambiente?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Inventário de fontes de logs de rede e acesso remoto: </w:t>
      </w:r>
      <w:r>
        <w:rPr>
          <w:rFonts w:ascii="Arial" w:hAnsi="Arial"/>
          <w:b w:val="0"/>
          <w:i w:val="0"/>
          <w:color w:val="1F2937"/>
          <w:sz w:val="16"/>
        </w:rPr>
        <w:t>Identificar firewall, VPN, roteadores, switches, Wi-Fi e ferramentas de acesso remoto que produzem registros relevantes.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Checklist de logs de firewall, VPN e rede: </w:t>
      </w:r>
      <w:r>
        <w:rPr>
          <w:rFonts w:ascii="Arial" w:hAnsi="Arial"/>
          <w:b w:val="0"/>
          <w:i w:val="0"/>
          <w:color w:val="1F2937"/>
          <w:sz w:val="16"/>
        </w:rPr>
        <w:t>Verificar se as principais fontes de rede mantêm registros úteis para análise de eventos e acessos remotos.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Matriz de retenção e disponibilidade de logs de rede: </w:t>
      </w:r>
      <w:r>
        <w:rPr>
          <w:rFonts w:ascii="Arial" w:hAnsi="Arial"/>
          <w:b w:val="0"/>
          <w:i w:val="0"/>
          <w:color w:val="1F2937"/>
          <w:sz w:val="16"/>
        </w:rPr>
        <w:t>Definir onde cada log de rede é mantido, por quanto tempo e como será recuperado durante uma investigação.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Registro de validação de evento de acesso remoto: </w:t>
      </w:r>
      <w:r>
        <w:rPr>
          <w:rFonts w:ascii="Arial" w:hAnsi="Arial"/>
          <w:b w:val="0"/>
          <w:i w:val="0"/>
          <w:color w:val="1F2937"/>
          <w:sz w:val="16"/>
        </w:rPr>
        <w:t>Comprovar que uma sessão remota autorizada deixa rastros suficientes para posterior investigação.</w:t>
      </w:r>
    </w:p>
    <w:p>
      <w:r>
        <w:rPr>
          <w:rFonts w:ascii="Arial" w:hAnsi="Arial"/>
          <w:b/>
          <w:i w:val="0"/>
          <w:color w:val="17365D"/>
          <w:sz w:val="16"/>
        </w:rPr>
        <w:t xml:space="preserve">Evidência esperada no instrumento: </w:t>
      </w:r>
      <w:r>
        <w:rPr>
          <w:rFonts w:ascii="Arial" w:hAnsi="Arial"/>
          <w:b w:val="0"/>
          <w:i w:val="0"/>
          <w:color w:val="1F2937"/>
          <w:sz w:val="16"/>
        </w:rPr>
        <w:t>logs de firewall/VPN, retenção, alertas, disponibilidade e revisão</w:t>
      </w:r>
    </w:p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Q61 — Os sistemas e equipamentos utilizam referência de data e hora sincronizada para permitir correlação confiável dos eventos?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Inventário de fontes de tempo e NTP: </w:t>
      </w:r>
      <w:r>
        <w:rPr>
          <w:rFonts w:ascii="Arial" w:hAnsi="Arial"/>
          <w:b w:val="0"/>
          <w:i w:val="0"/>
          <w:color w:val="1F2937"/>
          <w:sz w:val="16"/>
        </w:rPr>
        <w:t>Mapear quais ativos utilizam referência de horário confiável e identificar equipamentos fora do padrão.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Checklist de sincronização de data e hora: </w:t>
      </w:r>
      <w:r>
        <w:rPr>
          <w:rFonts w:ascii="Arial" w:hAnsi="Arial"/>
          <w:b w:val="0"/>
          <w:i w:val="0"/>
          <w:color w:val="1F2937"/>
          <w:sz w:val="16"/>
        </w:rPr>
        <w:t>Verificar se fontes relevantes possuem horário consistente para correlação de eventos.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Registro de desvios e correção de horário: </w:t>
      </w:r>
      <w:r>
        <w:rPr>
          <w:rFonts w:ascii="Arial" w:hAnsi="Arial"/>
          <w:b w:val="0"/>
          <w:i w:val="0"/>
          <w:color w:val="1F2937"/>
          <w:sz w:val="16"/>
        </w:rPr>
        <w:t>Documentar fontes com desvio de horário e o tratamento realizado.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Procedimento padrão de sincronização de tempo: </w:t>
      </w:r>
      <w:r>
        <w:rPr>
          <w:rFonts w:ascii="Arial" w:hAnsi="Arial"/>
          <w:b w:val="0"/>
          <w:i w:val="0"/>
          <w:color w:val="1F2937"/>
          <w:sz w:val="16"/>
        </w:rPr>
        <w:t>Definir uma referência de data/hora e um fluxo de validação proporcional ao ambiente.</w:t>
      </w:r>
    </w:p>
    <w:p>
      <w:r>
        <w:rPr>
          <w:rFonts w:ascii="Arial" w:hAnsi="Arial"/>
          <w:b/>
          <w:i w:val="0"/>
          <w:color w:val="17365D"/>
          <w:sz w:val="16"/>
        </w:rPr>
        <w:t xml:space="preserve">Evidência esperada no instrumento: </w:t>
      </w:r>
      <w:r>
        <w:rPr>
          <w:rFonts w:ascii="Arial" w:hAnsi="Arial"/>
          <w:b w:val="0"/>
          <w:i w:val="0"/>
          <w:color w:val="1F2937"/>
          <w:sz w:val="16"/>
        </w:rPr>
        <w:t>NTP/serviço de horário, configuração centralizada e validação</w:t>
      </w:r>
    </w:p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Q62 — Os logs são protegidos contra alteração e exclusão indevidas e mantidos pelo período definido pela organização?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Política mínima de proteção e retenção de logs: </w:t>
      </w:r>
      <w:r>
        <w:rPr>
          <w:rFonts w:ascii="Arial" w:hAnsi="Arial"/>
          <w:b w:val="0"/>
          <w:i w:val="0"/>
          <w:color w:val="1F2937"/>
          <w:sz w:val="16"/>
        </w:rPr>
        <w:t>Estabelecer regras simples para acesso, proteção contra alteração/exclusão indevida e retenção de registros.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Matriz de retenção de logs por fonte: </w:t>
      </w:r>
      <w:r>
        <w:rPr>
          <w:rFonts w:ascii="Arial" w:hAnsi="Arial"/>
          <w:b w:val="0"/>
          <w:i w:val="0"/>
          <w:color w:val="1F2937"/>
          <w:sz w:val="16"/>
        </w:rPr>
        <w:t>Registrar o período de retenção e a justificativa por fonte, evitando decisões implícitas ou inconsistentes.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Checklist de proteção e integridade de logs: </w:t>
      </w:r>
      <w:r>
        <w:rPr>
          <w:rFonts w:ascii="Arial" w:hAnsi="Arial"/>
          <w:b w:val="0"/>
          <w:i w:val="0"/>
          <w:color w:val="1F2937"/>
          <w:sz w:val="16"/>
        </w:rPr>
        <w:t>Verificar se logs relevantes estão protegidos contra alteração/exclusão indevida.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Registro de exceções de retenção e acesso a logs: </w:t>
      </w:r>
      <w:r>
        <w:rPr>
          <w:rFonts w:ascii="Arial" w:hAnsi="Arial"/>
          <w:b w:val="0"/>
          <w:i w:val="0"/>
          <w:color w:val="1F2937"/>
          <w:sz w:val="16"/>
        </w:rPr>
        <w:t>Formalizar limitações técnicas, acesso excessivo ou retenção abaixo do desejado e acompanhar sua correção.</w:t>
      </w:r>
    </w:p>
    <w:p>
      <w:r>
        <w:rPr>
          <w:rFonts w:ascii="Arial" w:hAnsi="Arial"/>
          <w:b/>
          <w:i w:val="0"/>
          <w:color w:val="17365D"/>
          <w:sz w:val="16"/>
        </w:rPr>
        <w:t xml:space="preserve">Evidência esperada no instrumento: </w:t>
      </w:r>
      <w:r>
        <w:rPr>
          <w:rFonts w:ascii="Arial" w:hAnsi="Arial"/>
          <w:b w:val="0"/>
          <w:i w:val="0"/>
          <w:color w:val="1F2937"/>
          <w:sz w:val="16"/>
        </w:rPr>
        <w:t>ACLs, centralização, retenção, WORM/imutabilidade quando aplicável</w:t>
      </w:r>
    </w:p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Q63 — Os registros e alertas de segurança são revisados com frequência compatível com a criticidade dos serviços?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Plano de rotina de revisão de logs e alertas: </w:t>
      </w:r>
      <w:r>
        <w:rPr>
          <w:rFonts w:ascii="Arial" w:hAnsi="Arial"/>
          <w:b w:val="0"/>
          <w:i w:val="0"/>
          <w:color w:val="1F2937"/>
          <w:sz w:val="16"/>
        </w:rPr>
        <w:t>Definir quais fontes precisam ser revisadas, com que frequência e quem trata achados.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Checklist de revisão operacional de segurança: </w:t>
      </w:r>
      <w:r>
        <w:rPr>
          <w:rFonts w:ascii="Arial" w:hAnsi="Arial"/>
          <w:b w:val="0"/>
          <w:i w:val="0"/>
          <w:color w:val="1F2937"/>
          <w:sz w:val="16"/>
        </w:rPr>
        <w:t>Padronizar uma revisão periódica simples para reduzir dependência da memória individual.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Registro de análise de alertas e achados: </w:t>
      </w:r>
      <w:r>
        <w:rPr>
          <w:rFonts w:ascii="Arial" w:hAnsi="Arial"/>
          <w:b w:val="0"/>
          <w:i w:val="0"/>
          <w:color w:val="1F2937"/>
          <w:sz w:val="16"/>
        </w:rPr>
        <w:t>Documentar o que foi revisado, conclusão e encaminhamento dos eventos relevantes.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Matriz de frequência, fontes e responsáveis: </w:t>
      </w:r>
      <w:r>
        <w:rPr>
          <w:rFonts w:ascii="Arial" w:hAnsi="Arial"/>
          <w:b w:val="0"/>
          <w:i w:val="0"/>
          <w:color w:val="1F2937"/>
          <w:sz w:val="16"/>
        </w:rPr>
        <w:t>Relacionar criticidade com frequência de revisão e responsável de forma clara.</w:t>
      </w:r>
    </w:p>
    <w:p>
      <w:r>
        <w:rPr>
          <w:rFonts w:ascii="Arial" w:hAnsi="Arial"/>
          <w:b/>
          <w:i w:val="0"/>
          <w:color w:val="17365D"/>
          <w:sz w:val="16"/>
        </w:rPr>
        <w:t xml:space="preserve">Evidência esperada no instrumento: </w:t>
      </w:r>
      <w:r>
        <w:rPr>
          <w:rFonts w:ascii="Arial" w:hAnsi="Arial"/>
          <w:b w:val="0"/>
          <w:i w:val="0"/>
          <w:color w:val="1F2937"/>
          <w:sz w:val="16"/>
        </w:rPr>
        <w:t>rotina de revisão, SOC/MSP, relatórios, tickets e evidências de análise</w:t>
      </w:r>
    </w:p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Q64 — Existem alertas automáticos, quando suportados pelos sistemas, para eventos relevantes como tentativas de acesso, malware, indisponibilidade e falhas de backup?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Matriz de casos de alertas automáticos: </w:t>
      </w:r>
      <w:r>
        <w:rPr>
          <w:rFonts w:ascii="Arial" w:hAnsi="Arial"/>
          <w:b w:val="0"/>
          <w:i w:val="0"/>
          <w:color w:val="1F2937"/>
          <w:sz w:val="16"/>
        </w:rPr>
        <w:t>Definir eventos relevantes que devem gerar alerta automático quando a tecnologia suportar.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Checklist de destinatários e escalonamento de alertas: </w:t>
      </w:r>
      <w:r>
        <w:rPr>
          <w:rFonts w:ascii="Arial" w:hAnsi="Arial"/>
          <w:b w:val="0"/>
          <w:i w:val="0"/>
          <w:color w:val="1F2937"/>
          <w:sz w:val="16"/>
        </w:rPr>
        <w:t>Verificar se alertas importantes chegam às pessoas certas e possuem fluxo mínimo de resposta.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Registro de teste de alertas automáticos: </w:t>
      </w:r>
      <w:r>
        <w:rPr>
          <w:rFonts w:ascii="Arial" w:hAnsi="Arial"/>
          <w:b w:val="0"/>
          <w:i w:val="0"/>
          <w:color w:val="1F2937"/>
          <w:sz w:val="16"/>
        </w:rPr>
        <w:t>Comprovar que a condição testada gera alerta, chega ao destinatário e desencadeia o fluxo esperado.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Procedimento de gestão de regras de alerta: </w:t>
      </w:r>
      <w:r>
        <w:rPr>
          <w:rFonts w:ascii="Arial" w:hAnsi="Arial"/>
          <w:b w:val="0"/>
          <w:i w:val="0"/>
          <w:color w:val="1F2937"/>
          <w:sz w:val="16"/>
        </w:rPr>
        <w:t>Manter regras de alerta úteis, testadas e com destinatários atualizados.</w:t>
      </w:r>
    </w:p>
    <w:p>
      <w:r>
        <w:rPr>
          <w:rFonts w:ascii="Arial" w:hAnsi="Arial"/>
          <w:b/>
          <w:i w:val="0"/>
          <w:color w:val="17365D"/>
          <w:sz w:val="16"/>
        </w:rPr>
        <w:t xml:space="preserve">Evidência esperada no instrumento: </w:t>
      </w:r>
      <w:r>
        <w:rPr>
          <w:rFonts w:ascii="Arial" w:hAnsi="Arial"/>
          <w:b w:val="0"/>
          <w:i w:val="0"/>
          <w:color w:val="1F2937"/>
          <w:sz w:val="16"/>
        </w:rPr>
        <w:t>regras de alerta, notificações, SIEM/RMM/EDR, testes de alertas</w:t>
      </w:r>
    </w:p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Q65 — A disponibilidade de servidores, sistemas, links, armazenamento e rotinas de backup é monitorada?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Inventário de monitoramento de disponibilidade e capacidade: </w:t>
      </w:r>
      <w:r>
        <w:rPr>
          <w:rFonts w:ascii="Arial" w:hAnsi="Arial"/>
          <w:b w:val="0"/>
          <w:i w:val="0"/>
          <w:color w:val="1F2937"/>
          <w:sz w:val="16"/>
        </w:rPr>
        <w:t>Mapear quais componentes críticos são monitorados e quais métricas/alertas existem.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Matriz de limiares e alertas de serviços críticos: </w:t>
      </w:r>
      <w:r>
        <w:rPr>
          <w:rFonts w:ascii="Arial" w:hAnsi="Arial"/>
          <w:b w:val="0"/>
          <w:i w:val="0"/>
          <w:color w:val="1F2937"/>
          <w:sz w:val="16"/>
        </w:rPr>
        <w:t>Definir limiares de capacidade/disponibilidade e ação esperada antes que a falha afete a operação.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Checklist de monitoramento de serviços críticos: </w:t>
      </w:r>
      <w:r>
        <w:rPr>
          <w:rFonts w:ascii="Arial" w:hAnsi="Arial"/>
          <w:b w:val="0"/>
          <w:i w:val="0"/>
          <w:color w:val="1F2937"/>
          <w:sz w:val="16"/>
        </w:rPr>
        <w:t>Confirmar se os principais componentes possuem monitoramento, alerta e responsável.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Registro de indisponibilidade, alerta e tratamento: </w:t>
      </w:r>
      <w:r>
        <w:rPr>
          <w:rFonts w:ascii="Arial" w:hAnsi="Arial"/>
          <w:b w:val="0"/>
          <w:i w:val="0"/>
          <w:color w:val="1F2937"/>
          <w:sz w:val="16"/>
        </w:rPr>
        <w:t>Registrar eventos relevantes para avaliar se o monitoramento detectou a falha e se o fluxo de resposta funcionou.</w:t>
      </w:r>
    </w:p>
    <w:p>
      <w:r>
        <w:rPr>
          <w:rFonts w:ascii="Arial" w:hAnsi="Arial"/>
          <w:b/>
          <w:i w:val="0"/>
          <w:color w:val="17365D"/>
          <w:sz w:val="16"/>
        </w:rPr>
        <w:t xml:space="preserve">Evidência esperada no instrumento: </w:t>
      </w:r>
      <w:r>
        <w:rPr>
          <w:rFonts w:ascii="Arial" w:hAnsi="Arial"/>
          <w:b w:val="0"/>
          <w:i w:val="0"/>
          <w:color w:val="1F2937"/>
          <w:sz w:val="16"/>
        </w:rPr>
        <w:t>monitoramento de uptime, storage, link, backup, dashboards e alertas</w:t>
      </w:r>
    </w:p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Q66 — A organização definiu situações suspeitas que devem ser investigadas, como acessos incomuns, exportações em massa e alterações administrativas?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Catálogo de situações suspeitas e casos de uso: </w:t>
      </w:r>
      <w:r>
        <w:rPr>
          <w:rFonts w:ascii="Arial" w:hAnsi="Arial"/>
          <w:b w:val="0"/>
          <w:i w:val="0"/>
          <w:color w:val="1F2937"/>
          <w:sz w:val="16"/>
        </w:rPr>
        <w:t>Definir situações que devem chamar atenção e ser investigadas, reduzindo dependência apenas da experiência individual.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Matriz de critérios de severidade e escalonamento: </w:t>
      </w:r>
      <w:r>
        <w:rPr>
          <w:rFonts w:ascii="Arial" w:hAnsi="Arial"/>
          <w:b w:val="0"/>
          <w:i w:val="0"/>
          <w:color w:val="1F2937"/>
          <w:sz w:val="16"/>
        </w:rPr>
        <w:t>Padronizar como classificar inicialmente eventos suspeitos e quando envolver outras pessoas.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Checklist de triagem de evento suspeito: </w:t>
      </w:r>
      <w:r>
        <w:rPr>
          <w:rFonts w:ascii="Arial" w:hAnsi="Arial"/>
          <w:b w:val="0"/>
          <w:i w:val="0"/>
          <w:color w:val="1F2937"/>
          <w:sz w:val="16"/>
        </w:rPr>
        <w:t>Orientar a primeira análise sem destruir evidências ou precipitar conclusões.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Registro de investigação inicial de evento suspeito: </w:t>
      </w:r>
      <w:r>
        <w:rPr>
          <w:rFonts w:ascii="Arial" w:hAnsi="Arial"/>
          <w:b w:val="0"/>
          <w:i w:val="0"/>
          <w:color w:val="1F2937"/>
          <w:sz w:val="16"/>
        </w:rPr>
        <w:t>Registrar de forma estruturada a análise inicial de um evento suspeito.</w:t>
      </w:r>
    </w:p>
    <w:p>
      <w:r>
        <w:rPr>
          <w:rFonts w:ascii="Arial" w:hAnsi="Arial"/>
          <w:b/>
          <w:i w:val="0"/>
          <w:color w:val="17365D"/>
          <w:sz w:val="16"/>
        </w:rPr>
        <w:t xml:space="preserve">Evidência esperada no instrumento: </w:t>
      </w:r>
      <w:r>
        <w:rPr>
          <w:rFonts w:ascii="Arial" w:hAnsi="Arial"/>
          <w:b w:val="0"/>
          <w:i w:val="0"/>
          <w:color w:val="1F2937"/>
          <w:sz w:val="16"/>
        </w:rPr>
        <w:t>casos de uso, critérios, playbooks, política e exemplos de investigação</w:t>
      </w:r>
    </w:p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Q67 — Os mecanismos de detecção e os fluxos de alerta são testados ou validados periodicamente?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Plano de testes de mecanismos de detecção e alertas: </w:t>
      </w:r>
      <w:r>
        <w:rPr>
          <w:rFonts w:ascii="Arial" w:hAnsi="Arial"/>
          <w:b w:val="0"/>
          <w:i w:val="0"/>
          <w:color w:val="1F2937"/>
          <w:sz w:val="16"/>
        </w:rPr>
        <w:t>Planejar testes periódicos dos mecanismos e fluxos de alerta críticos sem depender de um incidente real.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Roteiro de testes de cenários de detecção: </w:t>
      </w:r>
      <w:r>
        <w:rPr>
          <w:rFonts w:ascii="Arial" w:hAnsi="Arial"/>
          <w:b w:val="0"/>
          <w:i w:val="0"/>
          <w:color w:val="1F2937"/>
          <w:sz w:val="16"/>
        </w:rPr>
        <w:t>Padronizar a execução de testes para que o resultado seja repetível e comparável.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Registro de resultados de testes e ajustes: </w:t>
      </w:r>
      <w:r>
        <w:rPr>
          <w:rFonts w:ascii="Arial" w:hAnsi="Arial"/>
          <w:b w:val="0"/>
          <w:i w:val="0"/>
          <w:color w:val="1F2937"/>
          <w:sz w:val="16"/>
        </w:rPr>
        <w:t>Documentar se o mecanismo detectou, notificou e permitiu tratamento conforme esperado.</w:t>
      </w:r>
    </w:p>
    <w:p>
      <w:pPr>
        <w:ind w:left="216"/>
      </w:pPr>
      <w:r>
        <w:rPr>
          <w:rFonts w:ascii="Arial" w:hAnsi="Arial"/>
          <w:b/>
          <w:i w:val="0"/>
          <w:color w:val="17365D"/>
          <w:sz w:val="16"/>
        </w:rPr>
        <w:t xml:space="preserve">• Checklist de validação do fluxo de notificação e escalonamento: </w:t>
      </w:r>
      <w:r>
        <w:rPr>
          <w:rFonts w:ascii="Arial" w:hAnsi="Arial"/>
          <w:b w:val="0"/>
          <w:i w:val="0"/>
          <w:color w:val="1F2937"/>
          <w:sz w:val="16"/>
        </w:rPr>
        <w:t>Verificar ponta a ponta se o alerta gerado chega, é reconhecido, escalonado e registrado.</w:t>
      </w:r>
    </w:p>
    <w:p>
      <w:r>
        <w:rPr>
          <w:rFonts w:ascii="Arial" w:hAnsi="Arial"/>
          <w:b/>
          <w:i w:val="0"/>
          <w:color w:val="17365D"/>
          <w:sz w:val="16"/>
        </w:rPr>
        <w:t xml:space="preserve">Evidência esperada no instrumento: </w:t>
      </w:r>
      <w:r>
        <w:rPr>
          <w:rFonts w:ascii="Arial" w:hAnsi="Arial"/>
          <w:b w:val="0"/>
          <w:i w:val="0"/>
          <w:color w:val="1F2937"/>
          <w:sz w:val="16"/>
        </w:rPr>
        <w:t>testes de alertas, simulações, validação de notificações e registros de correção</w:t>
      </w:r>
    </w:p>
    <w:sectPr w:rsidR="00FC693F" w:rsidRPr="0006063C" w:rsidSect="00034616">
      <w:footerReference w:type="default" r:id="rId9"/>
      <w:pgSz w:w="11909" w:h="16834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