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213D"/>
          <w:sz w:val="32"/>
        </w:rPr>
        <w:t>D07 — GUIA DE USO DOS MATERIAIS</w:t>
      </w:r>
    </w:p>
    <w:p>
      <w:pPr>
        <w:jc w:val="center"/>
      </w:pPr>
      <w:r>
        <w:rPr>
          <w:color w:val="475569"/>
          <w:sz w:val="20"/>
        </w:rPr>
        <w:t>Resposta a incidentes — Q68 a Q77</w:t>
      </w:r>
    </w:p>
    <w:p>
      <w:pPr>
        <w:spacing w:after="120"/>
      </w:pPr>
      <w:r>
        <w:t>Este guia organiza os materiais auxiliares individualizados da dimensão D07. Eles foram desenhados para clínicas de pequeno e médio porte, com foco em processos simples, executáveis e evidenciáveis. Use-os como ponto de partida e adapte responsáveis, canais, fornecedores e tecnologias à realidade local.</w:t>
      </w:r>
    </w:p>
    <w:p>
      <w:r>
        <w:rPr>
          <w:b/>
        </w:rPr>
        <w:t xml:space="preserve">Atenção jurídica/regulatória: </w:t>
      </w:r>
      <w:r>
        <w:t>os materiais da Q75 refletem a Resolução CD/ANPD nº 15/2024 e as orientações vigentes consultadas no Portal da ANPD, inclusive o prazo de 3 dias úteis para comunicação à ANPD e titulares quando houver risco ou dano relevante, ressalvada legislação específica. Revalide requisitos legais antes de uso definitivo.</w:t>
      </w:r>
    </w:p>
    <w:p>
      <w:pPr>
        <w:spacing w:before="100" w:after="60"/>
      </w:pPr>
      <w:r>
        <w:rPr>
          <w:b/>
          <w:color w:val="1E40AF"/>
          <w:sz w:val="20"/>
        </w:rPr>
        <w:t>Q68 — Existe plano ou procedimento documentado para resposta a incidentes de segurança cibernética e privacidade?</w:t>
      </w:r>
    </w:p>
    <w:p>
      <w:pPr>
        <w:spacing w:after="40"/>
        <w:ind w:left="113"/>
      </w:pPr>
      <w:r>
        <w:rPr>
          <w:b/>
          <w:sz w:val="17"/>
        </w:rPr>
        <w:t xml:space="preserve">• Modelo de Plano Enxuto de Resposta a Incidentes: </w:t>
      </w:r>
      <w:r>
        <w:rPr>
          <w:sz w:val="17"/>
        </w:rPr>
        <w:t>Modelo editável para estruturar fluxo, papéis e cenários de resposta.</w:t>
      </w:r>
    </w:p>
    <w:p>
      <w:pPr>
        <w:spacing w:after="40"/>
        <w:ind w:left="113"/>
      </w:pPr>
      <w:r>
        <w:rPr>
          <w:b/>
          <w:sz w:val="17"/>
        </w:rPr>
        <w:t xml:space="preserve">• Checklist de Prontidão do Plano de Resposta: </w:t>
      </w:r>
      <w:r>
        <w:rPr>
          <w:sz w:val="17"/>
        </w:rPr>
        <w:t>Checklist para avaliar se o plano é utilizável e verificável.</w:t>
      </w:r>
    </w:p>
    <w:p>
      <w:pPr>
        <w:spacing w:after="40"/>
        <w:ind w:left="113"/>
      </w:pPr>
      <w:r>
        <w:rPr>
          <w:b/>
          <w:sz w:val="17"/>
        </w:rPr>
        <w:t xml:space="preserve">• Matriz de Cenários e Playbooks Prioritários: </w:t>
      </w:r>
      <w:r>
        <w:rPr>
          <w:sz w:val="17"/>
        </w:rPr>
        <w:t>Matriz para priorizar cenários plausíveis e manter playbooks.</w:t>
      </w:r>
    </w:p>
    <w:p>
      <w:pPr>
        <w:spacing w:after="40"/>
        <w:ind w:left="113"/>
      </w:pPr>
      <w:r>
        <w:rPr>
          <w:b/>
          <w:sz w:val="17"/>
        </w:rPr>
        <w:t xml:space="preserve">• Registro de Revisões, Testes e Aprovação: </w:t>
      </w:r>
      <w:r>
        <w:rPr>
          <w:sz w:val="17"/>
        </w:rPr>
        <w:t>Registro de governança, exercícios e atualizações do plano.</w:t>
      </w:r>
    </w:p>
    <w:p>
      <w:pPr>
        <w:spacing w:before="100" w:after="60"/>
      </w:pPr>
      <w:r>
        <w:rPr>
          <w:b/>
          <w:color w:val="1E40AF"/>
          <w:sz w:val="20"/>
        </w:rPr>
        <w:t>Q69 — Estão definidos os responsáveis, substitutos e contatos internos e externos a serem acionados durante um incidente?</w:t>
      </w:r>
    </w:p>
    <w:p>
      <w:pPr>
        <w:spacing w:after="40"/>
        <w:ind w:left="113"/>
      </w:pPr>
      <w:r>
        <w:rPr>
          <w:b/>
          <w:sz w:val="17"/>
        </w:rPr>
        <w:t xml:space="preserve">• Matriz de Papéis, Responsáveis e Substitutos: </w:t>
      </w:r>
      <w:r>
        <w:rPr>
          <w:sz w:val="17"/>
        </w:rPr>
        <w:t>Matriz simplificada para definir responsabilidades durante incidentes.</w:t>
      </w:r>
    </w:p>
    <w:p>
      <w:pPr>
        <w:spacing w:after="40"/>
        <w:ind w:left="113"/>
      </w:pPr>
      <w:r>
        <w:rPr>
          <w:b/>
          <w:sz w:val="17"/>
        </w:rPr>
        <w:t xml:space="preserve">• Lista de Contatos Críticos: </w:t>
      </w:r>
      <w:r>
        <w:rPr>
          <w:sz w:val="17"/>
        </w:rPr>
        <w:t>Lista operacional de contatos internos e externos.</w:t>
      </w:r>
    </w:p>
    <w:p>
      <w:pPr>
        <w:spacing w:after="40"/>
        <w:ind w:left="113"/>
      </w:pPr>
      <w:r>
        <w:rPr>
          <w:b/>
          <w:sz w:val="17"/>
        </w:rPr>
        <w:t xml:space="preserve">• Cartão de Acionamento Rápido: </w:t>
      </w:r>
      <w:r>
        <w:rPr>
          <w:sz w:val="17"/>
        </w:rPr>
        <w:t>Roteiro curto para o primeiro acionamento.</w:t>
      </w:r>
    </w:p>
    <w:p>
      <w:pPr>
        <w:spacing w:after="40"/>
        <w:ind w:left="113"/>
      </w:pPr>
      <w:r>
        <w:rPr>
          <w:b/>
          <w:sz w:val="17"/>
        </w:rPr>
        <w:t xml:space="preserve">• Checklist de Atualização e Teste de Contatos: </w:t>
      </w:r>
      <w:r>
        <w:rPr>
          <w:sz w:val="17"/>
        </w:rPr>
        <w:t>Checklist periódico para validar contatos e substitutos.</w:t>
      </w:r>
    </w:p>
    <w:p>
      <w:pPr>
        <w:spacing w:before="100" w:after="60"/>
      </w:pPr>
      <w:r>
        <w:rPr>
          <w:b/>
          <w:color w:val="1E40AF"/>
          <w:sz w:val="20"/>
        </w:rPr>
        <w:t>Q70 — Existe canal conhecido pelos colaboradores para comunicar incidentes, vulnerabilidades e comportamentos suspeitos?</w:t>
      </w:r>
    </w:p>
    <w:p>
      <w:pPr>
        <w:spacing w:after="40"/>
        <w:ind w:left="113"/>
      </w:pPr>
      <w:r>
        <w:rPr>
          <w:b/>
          <w:sz w:val="17"/>
        </w:rPr>
        <w:t xml:space="preserve">• Procedimento do Canal de Reporte: </w:t>
      </w:r>
      <w:r>
        <w:rPr>
          <w:sz w:val="17"/>
        </w:rPr>
        <w:t>Procedimento simples sobre o que e como reportar.</w:t>
      </w:r>
    </w:p>
    <w:p>
      <w:pPr>
        <w:spacing w:after="40"/>
        <w:ind w:left="113"/>
      </w:pPr>
      <w:r>
        <w:rPr>
          <w:b/>
          <w:sz w:val="17"/>
        </w:rPr>
        <w:t xml:space="preserve">• Formulário de Registro Inicial de Evento: </w:t>
      </w:r>
      <w:r>
        <w:rPr>
          <w:sz w:val="17"/>
        </w:rPr>
        <w:t>Formulário para registrar relatos e encaminhar à triagem.</w:t>
      </w:r>
    </w:p>
    <w:p>
      <w:pPr>
        <w:spacing w:after="40"/>
        <w:ind w:left="113"/>
      </w:pPr>
      <w:r>
        <w:rPr>
          <w:b/>
          <w:sz w:val="17"/>
        </w:rPr>
        <w:t xml:space="preserve">• Comunicado aos Colaboradores: </w:t>
      </w:r>
      <w:r>
        <w:rPr>
          <w:sz w:val="17"/>
        </w:rPr>
        <w:t>Modelo para divulgar exemplos e canais de reporte.</w:t>
      </w:r>
    </w:p>
    <w:p>
      <w:pPr>
        <w:spacing w:after="40"/>
        <w:ind w:left="113"/>
      </w:pPr>
      <w:r>
        <w:rPr>
          <w:b/>
          <w:sz w:val="17"/>
        </w:rPr>
        <w:t xml:space="preserve">• Checklist de Validação do Canal: </w:t>
      </w:r>
      <w:r>
        <w:rPr>
          <w:sz w:val="17"/>
        </w:rPr>
        <w:t>Checklist para testar se o canal funciona de fato.</w:t>
      </w:r>
    </w:p>
    <w:p>
      <w:pPr>
        <w:spacing w:before="100" w:after="60"/>
      </w:pPr>
      <w:r>
        <w:rPr>
          <w:b/>
          <w:color w:val="1E40AF"/>
          <w:sz w:val="20"/>
        </w:rPr>
        <w:t>Q71 — Os eventos suspeitos são analisados e validados e, quando caracterizados como incidentes, são categorizados e priorizados conforme gravidade, impacto, urgência e possível envolvimento de dados pessoais?</w:t>
      </w:r>
    </w:p>
    <w:p>
      <w:pPr>
        <w:spacing w:after="40"/>
        <w:ind w:left="113"/>
      </w:pPr>
      <w:r>
        <w:rPr>
          <w:b/>
          <w:sz w:val="17"/>
        </w:rPr>
        <w:t xml:space="preserve">• Matriz de Classificação e Prioridade: </w:t>
      </w:r>
      <w:r>
        <w:rPr>
          <w:sz w:val="17"/>
        </w:rPr>
        <w:t>Matriz proporcional para severidade, impacto e urgência.</w:t>
      </w:r>
    </w:p>
    <w:p>
      <w:pPr>
        <w:spacing w:after="40"/>
        <w:ind w:left="113"/>
      </w:pPr>
      <w:r>
        <w:rPr>
          <w:b/>
          <w:sz w:val="17"/>
        </w:rPr>
        <w:t xml:space="preserve">• Formulário de Triagem e Validação: </w:t>
      </w:r>
      <w:r>
        <w:rPr>
          <w:sz w:val="17"/>
        </w:rPr>
        <w:t>Formulário para validar evento e registrar decisão.</w:t>
      </w:r>
    </w:p>
    <w:p>
      <w:pPr>
        <w:spacing w:after="40"/>
        <w:ind w:left="113"/>
      </w:pPr>
      <w:r>
        <w:rPr>
          <w:b/>
          <w:sz w:val="17"/>
        </w:rPr>
        <w:t xml:space="preserve">• Matriz de Avaliação de Risco/Dano a Titulares: </w:t>
      </w:r>
      <w:r>
        <w:rPr>
          <w:sz w:val="17"/>
        </w:rPr>
        <w:t>Apoio à análise quando houver dados pessoais.</w:t>
      </w:r>
    </w:p>
    <w:p>
      <w:pPr>
        <w:spacing w:after="40"/>
        <w:ind w:left="113"/>
      </w:pPr>
      <w:r>
        <w:rPr>
          <w:b/>
          <w:sz w:val="17"/>
        </w:rPr>
        <w:t xml:space="preserve">• Registro de Decisão de Classificação: </w:t>
      </w:r>
      <w:r>
        <w:rPr>
          <w:sz w:val="17"/>
        </w:rPr>
        <w:t>Registro da justificativa e ações decorrentes.</w:t>
      </w:r>
    </w:p>
    <w:p>
      <w:pPr>
        <w:spacing w:before="100" w:after="60"/>
      </w:pPr>
      <w:r>
        <w:rPr>
          <w:b/>
          <w:color w:val="1E40AF"/>
          <w:sz w:val="20"/>
        </w:rPr>
        <w:t>Q72 — Existem procedimentos para conter incidentes e limitar sua propagação, considerando a preservação ou recuperação dos serviços essenciais?</w:t>
      </w:r>
    </w:p>
    <w:p>
      <w:pPr>
        <w:spacing w:after="40"/>
        <w:ind w:left="113"/>
      </w:pPr>
      <w:r>
        <w:rPr>
          <w:b/>
          <w:sz w:val="17"/>
        </w:rPr>
        <w:t xml:space="preserve">• Playbook de Contenção — Ransomware: </w:t>
      </w:r>
      <w:r>
        <w:rPr>
          <w:sz w:val="17"/>
        </w:rPr>
        <w:t>Roteiro seguro e proporcional para ransomware/criptografia.</w:t>
      </w:r>
    </w:p>
    <w:p>
      <w:pPr>
        <w:spacing w:after="40"/>
        <w:ind w:left="113"/>
      </w:pPr>
      <w:r>
        <w:rPr>
          <w:b/>
          <w:sz w:val="17"/>
        </w:rPr>
        <w:t xml:space="preserve">• Playbook de Contenção — Conta/Acesso Remoto: </w:t>
      </w:r>
      <w:r>
        <w:rPr>
          <w:sz w:val="17"/>
        </w:rPr>
        <w:t>Roteiro para credencial comprometida ou acesso remoto indevido.</w:t>
      </w:r>
    </w:p>
    <w:p>
      <w:pPr>
        <w:spacing w:after="40"/>
        <w:ind w:left="113"/>
      </w:pPr>
      <w:r>
        <w:rPr>
          <w:b/>
          <w:sz w:val="17"/>
        </w:rPr>
        <w:t xml:space="preserve">• Checklist de Contenção e Continuidade: </w:t>
      </w:r>
      <w:r>
        <w:rPr>
          <w:sz w:val="17"/>
        </w:rPr>
        <w:t>Apoio à decisão antes de isolar ou interromper serviços.</w:t>
      </w:r>
    </w:p>
    <w:p>
      <w:pPr>
        <w:spacing w:after="40"/>
        <w:ind w:left="113"/>
      </w:pPr>
      <w:r>
        <w:rPr>
          <w:b/>
          <w:sz w:val="17"/>
        </w:rPr>
        <w:t xml:space="preserve">• Registro Cronológico de Contenção: </w:t>
      </w:r>
      <w:r>
        <w:rPr>
          <w:sz w:val="17"/>
        </w:rPr>
        <w:t>Registro horário das ações, impactos e resultados.</w:t>
      </w:r>
    </w:p>
    <w:p>
      <w:pPr>
        <w:spacing w:before="100" w:after="60"/>
      </w:pPr>
      <w:r>
        <w:rPr>
          <w:b/>
          <w:color w:val="1E40AF"/>
          <w:sz w:val="20"/>
        </w:rPr>
        <w:t>Q73 — Existem orientações para preservar logs, arquivos, registros e outras evidências necessárias à investigação, mantendo sua integridade e rastreabilidade?</w:t>
      </w:r>
    </w:p>
    <w:p>
      <w:pPr>
        <w:spacing w:after="40"/>
        <w:ind w:left="113"/>
      </w:pPr>
      <w:r>
        <w:rPr>
          <w:b/>
          <w:sz w:val="17"/>
        </w:rPr>
        <w:t xml:space="preserve">• Procedimento de Preservação de Evidências: </w:t>
      </w:r>
      <w:r>
        <w:rPr>
          <w:sz w:val="17"/>
        </w:rPr>
        <w:t>Procedimento mínimo de preservação e rastreabilidade.</w:t>
      </w:r>
    </w:p>
    <w:p>
      <w:pPr>
        <w:spacing w:after="40"/>
        <w:ind w:left="113"/>
      </w:pPr>
      <w:r>
        <w:rPr>
          <w:b/>
          <w:sz w:val="17"/>
        </w:rPr>
        <w:t xml:space="preserve">• Cadeia de Custódia Simplificada: </w:t>
      </w:r>
      <w:r>
        <w:rPr>
          <w:sz w:val="17"/>
        </w:rPr>
        <w:t>Registro de transferências e responsáveis pela evidência.</w:t>
      </w:r>
    </w:p>
    <w:p>
      <w:pPr>
        <w:spacing w:after="40"/>
        <w:ind w:left="113"/>
      </w:pPr>
      <w:r>
        <w:rPr>
          <w:b/>
          <w:sz w:val="17"/>
        </w:rPr>
        <w:t xml:space="preserve">• Checklist de Coleta de Logs e Artefatos: </w:t>
      </w:r>
      <w:r>
        <w:rPr>
          <w:sz w:val="17"/>
        </w:rPr>
        <w:t>Checklist por fonte potencial de evidência.</w:t>
      </w:r>
    </w:p>
    <w:p>
      <w:pPr>
        <w:spacing w:after="40"/>
        <w:ind w:left="113"/>
      </w:pPr>
      <w:r>
        <w:rPr>
          <w:b/>
          <w:sz w:val="17"/>
        </w:rPr>
        <w:t xml:space="preserve">• Registro de Integridade e Armazenamento: </w:t>
      </w:r>
      <w:r>
        <w:rPr>
          <w:sz w:val="17"/>
        </w:rPr>
        <w:t>Registro de hash/checksum quando aplicável e armazenamento protegido.</w:t>
      </w:r>
    </w:p>
    <w:p>
      <w:pPr>
        <w:spacing w:before="100" w:after="60"/>
      </w:pPr>
      <w:r>
        <w:rPr>
          <w:b/>
          <w:color w:val="1E40AF"/>
          <w:sz w:val="20"/>
        </w:rPr>
        <w:t>Q74 — Existe plano de comunicação interna com direção, áreas assistenciais, TI, jurídico, encarregado quando aplicável e demais envolvidos?</w:t>
      </w:r>
    </w:p>
    <w:p>
      <w:pPr>
        <w:spacing w:after="40"/>
        <w:ind w:left="113"/>
      </w:pPr>
      <w:r>
        <w:rPr>
          <w:b/>
          <w:sz w:val="17"/>
        </w:rPr>
        <w:t xml:space="preserve">• Matriz de Comunicação Interna: </w:t>
      </w:r>
      <w:r>
        <w:rPr>
          <w:sz w:val="17"/>
        </w:rPr>
        <w:t>Define públicos, momento de acionamento e atualização.</w:t>
      </w:r>
    </w:p>
    <w:p>
      <w:pPr>
        <w:spacing w:after="40"/>
        <w:ind w:left="113"/>
      </w:pPr>
      <w:r>
        <w:rPr>
          <w:b/>
          <w:sz w:val="17"/>
        </w:rPr>
        <w:t xml:space="preserve">• Modelos de Mensagens Internas: </w:t>
      </w:r>
      <w:r>
        <w:rPr>
          <w:sz w:val="17"/>
        </w:rPr>
        <w:t>Modelos editáveis para direção e áreas afetadas.</w:t>
      </w:r>
    </w:p>
    <w:p>
      <w:pPr>
        <w:spacing w:after="40"/>
        <w:ind w:left="113"/>
      </w:pPr>
      <w:r>
        <w:rPr>
          <w:b/>
          <w:sz w:val="17"/>
        </w:rPr>
        <w:t xml:space="preserve">• Checklist de Comunicação por Público: </w:t>
      </w:r>
      <w:r>
        <w:rPr>
          <w:sz w:val="17"/>
        </w:rPr>
        <w:t>Checklist para conferir cobertura e canais.</w:t>
      </w:r>
    </w:p>
    <w:p>
      <w:pPr>
        <w:spacing w:after="40"/>
        <w:ind w:left="113"/>
      </w:pPr>
      <w:r>
        <w:rPr>
          <w:b/>
          <w:sz w:val="17"/>
        </w:rPr>
        <w:t xml:space="preserve">• Registro de Decisões e Comunicações: </w:t>
      </w:r>
      <w:r>
        <w:rPr>
          <w:sz w:val="17"/>
        </w:rPr>
        <w:t>Cronologia das mensagens e decisões internas.</w:t>
      </w:r>
    </w:p>
    <w:p>
      <w:pPr>
        <w:spacing w:before="100" w:after="60"/>
      </w:pPr>
      <w:r>
        <w:rPr>
          <w:b/>
          <w:color w:val="1E40AF"/>
          <w:sz w:val="20"/>
        </w:rPr>
        <w:t>Q75 — Existem critérios e procedimentos para comunicações externas durante incidentes, incluindo a avaliação e a comunicação à ANPD e aos titulares quando exigida, além de parceiros ou autoridades aplicáveis?</w:t>
      </w:r>
    </w:p>
    <w:p>
      <w:pPr>
        <w:spacing w:after="40"/>
        <w:ind w:left="113"/>
      </w:pPr>
      <w:r>
        <w:rPr>
          <w:b/>
          <w:sz w:val="17"/>
        </w:rPr>
        <w:t xml:space="preserve">• Procedimento de Comunicação Externa / ANPD: </w:t>
      </w:r>
      <w:r>
        <w:rPr>
          <w:sz w:val="17"/>
        </w:rPr>
        <w:t>Fluxo para avaliar e realizar comunicações aplicáveis.</w:t>
      </w:r>
    </w:p>
    <w:p>
      <w:pPr>
        <w:spacing w:after="40"/>
        <w:ind w:left="113"/>
      </w:pPr>
      <w:r>
        <w:rPr>
          <w:b/>
          <w:sz w:val="17"/>
        </w:rPr>
        <w:t xml:space="preserve">• Formulário de Avaliação de Risco ou Dano Relevante: </w:t>
      </w:r>
      <w:r>
        <w:rPr>
          <w:sz w:val="17"/>
        </w:rPr>
        <w:t>Registro dos fatores considerados na decisão.</w:t>
      </w:r>
    </w:p>
    <w:p>
      <w:pPr>
        <w:spacing w:after="40"/>
        <w:ind w:left="113"/>
      </w:pPr>
      <w:r>
        <w:rPr>
          <w:b/>
          <w:sz w:val="17"/>
        </w:rPr>
        <w:t xml:space="preserve">• Checklist de Comunicação à ANPD e Titulares: </w:t>
      </w:r>
      <w:r>
        <w:rPr>
          <w:sz w:val="17"/>
        </w:rPr>
        <w:t>Checklist atualizado com a Resolução CD/ANPD nº 15/2024.</w:t>
      </w:r>
    </w:p>
    <w:p>
      <w:pPr>
        <w:spacing w:after="40"/>
        <w:ind w:left="113"/>
      </w:pPr>
      <w:r>
        <w:rPr>
          <w:b/>
          <w:sz w:val="17"/>
        </w:rPr>
        <w:t xml:space="preserve">• Registro Cronológico de Comunicações Externas: </w:t>
      </w:r>
      <w:r>
        <w:rPr>
          <w:sz w:val="17"/>
        </w:rPr>
        <w:t>Rastreabilidade de prazos, decisões, protocolos e complementações.</w:t>
      </w:r>
    </w:p>
    <w:p>
      <w:pPr>
        <w:spacing w:before="100" w:after="60"/>
      </w:pPr>
      <w:r>
        <w:rPr>
          <w:b/>
          <w:color w:val="1E40AF"/>
          <w:sz w:val="20"/>
        </w:rPr>
        <w:t>Q76 — Fornecedores e prestadores essenciais participam dos procedimentos de resposta quando o incidente envolve seus serviços ou acessos?</w:t>
      </w:r>
    </w:p>
    <w:p>
      <w:pPr>
        <w:spacing w:after="40"/>
        <w:ind w:left="113"/>
      </w:pPr>
      <w:r>
        <w:rPr>
          <w:b/>
          <w:sz w:val="17"/>
        </w:rPr>
        <w:t xml:space="preserve">• Matriz de Fornecedores Críticos na Resposta: </w:t>
      </w:r>
      <w:r>
        <w:rPr>
          <w:sz w:val="17"/>
        </w:rPr>
        <w:t>Mapeia participação e responsabilidades de terceiros críticos.</w:t>
      </w:r>
    </w:p>
    <w:p>
      <w:pPr>
        <w:spacing w:after="40"/>
        <w:ind w:left="113"/>
      </w:pPr>
      <w:r>
        <w:rPr>
          <w:b/>
          <w:sz w:val="17"/>
        </w:rPr>
        <w:t xml:space="preserve">• Ficha de Acionamento de Fornecedor: </w:t>
      </w:r>
      <w:r>
        <w:rPr>
          <w:sz w:val="17"/>
        </w:rPr>
        <w:t>Formulário para acionamento estruturado durante incidentes.</w:t>
      </w:r>
    </w:p>
    <w:p>
      <w:pPr>
        <w:spacing w:after="40"/>
        <w:ind w:left="113"/>
      </w:pPr>
      <w:r>
        <w:rPr>
          <w:b/>
          <w:sz w:val="17"/>
        </w:rPr>
        <w:t xml:space="preserve">• Requisitos Contratuais de Resposta a Incidentes: </w:t>
      </w:r>
      <w:r>
        <w:rPr>
          <w:sz w:val="17"/>
        </w:rPr>
        <w:t>Checklist de cláusulas/SLA a avaliar com jurídico e contratos.</w:t>
      </w:r>
    </w:p>
    <w:p>
      <w:pPr>
        <w:spacing w:after="40"/>
        <w:ind w:left="113"/>
      </w:pPr>
      <w:r>
        <w:rPr>
          <w:b/>
          <w:sz w:val="17"/>
        </w:rPr>
        <w:t xml:space="preserve">• Checklist de Exercício com Fornecedor: </w:t>
      </w:r>
      <w:r>
        <w:rPr>
          <w:sz w:val="17"/>
        </w:rPr>
        <w:t>Teste de contato, SLA, evidências e cooperação.</w:t>
      </w:r>
    </w:p>
    <w:p>
      <w:pPr>
        <w:spacing w:before="100" w:after="60"/>
      </w:pPr>
      <w:r>
        <w:rPr>
          <w:b/>
          <w:color w:val="1E40AF"/>
          <w:sz w:val="20"/>
        </w:rPr>
        <w:t>Q77 — Após incidentes ou simulações, são registradas lições aprendidas e realizadas melhorias nos controles e procedimentos?</w:t>
      </w:r>
    </w:p>
    <w:p>
      <w:pPr>
        <w:spacing w:after="40"/>
        <w:ind w:left="113"/>
      </w:pPr>
      <w:r>
        <w:rPr>
          <w:b/>
          <w:sz w:val="17"/>
        </w:rPr>
        <w:t xml:space="preserve">• Modelo de Revisão Pós-Incidente: </w:t>
      </w:r>
      <w:r>
        <w:rPr>
          <w:sz w:val="17"/>
        </w:rPr>
        <w:t>Modelo para revisão factual e identificação de melhorias.</w:t>
      </w:r>
    </w:p>
    <w:p>
      <w:pPr>
        <w:spacing w:after="40"/>
        <w:ind w:left="113"/>
      </w:pPr>
      <w:r>
        <w:rPr>
          <w:b/>
          <w:sz w:val="17"/>
        </w:rPr>
        <w:t xml:space="preserve">• Registro de Lições Aprendidas: </w:t>
      </w:r>
      <w:r>
        <w:rPr>
          <w:sz w:val="17"/>
        </w:rPr>
        <w:t>Registro estruturado de aprendizados e decisões.</w:t>
      </w:r>
    </w:p>
    <w:p>
      <w:pPr>
        <w:spacing w:after="40"/>
        <w:ind w:left="113"/>
      </w:pPr>
      <w:r>
        <w:rPr>
          <w:b/>
          <w:sz w:val="17"/>
        </w:rPr>
        <w:t xml:space="preserve">• Plano de Ação de Melhoria Pós-Incidente: </w:t>
      </w:r>
      <w:r>
        <w:rPr>
          <w:sz w:val="17"/>
        </w:rPr>
        <w:t>Plano com responsável, prazo, evidência e eficácia.</w:t>
      </w:r>
    </w:p>
    <w:p>
      <w:pPr>
        <w:spacing w:after="40"/>
        <w:ind w:left="113"/>
      </w:pPr>
      <w:r>
        <w:rPr>
          <w:b/>
          <w:sz w:val="17"/>
        </w:rPr>
        <w:t xml:space="preserve">• Checklist de Encerramento e Atualização: </w:t>
      </w:r>
      <w:r>
        <w:rPr>
          <w:sz w:val="17"/>
        </w:rPr>
        <w:t>Checklist para fechar incidente e atualizar controles/procedimentos.</w:t>
      </w:r>
    </w:p>
    <w:p>
      <w:pPr>
        <w:spacing w:before="100" w:after="60"/>
      </w:pPr>
      <w:r>
        <w:rPr>
          <w:b/>
          <w:color w:val="1E40AF"/>
          <w:sz w:val="20"/>
        </w:rPr>
        <w:t>Como usar na avaliação</w:t>
      </w:r>
    </w:p>
    <w:p>
      <w:pPr>
        <w:spacing w:after="30"/>
        <w:ind w:left="85"/>
      </w:pPr>
      <w:r>
        <w:rPr>
          <w:sz w:val="17"/>
        </w:rPr>
        <w:t>• O documento preenchido pode ser uma evidência, mas deve ser confrontado com a prática real.</w:t>
      </w:r>
    </w:p>
    <w:p>
      <w:pPr>
        <w:spacing w:after="30"/>
        <w:ind w:left="85"/>
      </w:pPr>
      <w:r>
        <w:rPr>
          <w:sz w:val="17"/>
        </w:rPr>
        <w:t>• Use NS quando não houver informação/evidência suficiente; não force uma nota.</w:t>
      </w:r>
    </w:p>
    <w:p>
      <w:pPr>
        <w:spacing w:after="30"/>
        <w:ind w:left="85"/>
      </w:pPr>
      <w:r>
        <w:rPr>
          <w:sz w:val="17"/>
        </w:rPr>
        <w:t>• Use NA somente quando o cenário realmente não se aplicar; ausência do controle não é NA.</w:t>
      </w:r>
    </w:p>
    <w:p>
      <w:pPr>
        <w:spacing w:after="30"/>
        <w:ind w:left="85"/>
      </w:pPr>
      <w:r>
        <w:rPr>
          <w:sz w:val="17"/>
        </w:rPr>
        <w:t>• Não atribua nível 3 somente pela existência de um modelo; verifique aplicação, atualização, responsáveis e evidência.</w:t>
      </w:r>
    </w:p>
    <w:sectPr w:rsidR="00FC693F" w:rsidRPr="0006063C" w:rsidSect="00034616">
      <w:pgSz w:w="12240" w:h="15840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