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CHECKLIST PARA FORMALIZAÇÃO DO RESPONSÁVEL POR SEGURANÇA</w:t>
      </w:r>
    </w:p>
    <w:p>
      <w:pPr>
        <w:jc w:val="center"/>
      </w:pPr>
      <w:r>
        <w:rPr>
          <w:i/>
          <w:sz w:val="17"/>
        </w:rPr>
        <w:t>Material de apoio - Questão 1 do instrumento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DEDED"/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</w:tcPr>
          <w:p>
            <w:r>
              <w:rPr>
                <w:b/>
                <w:sz w:val="16"/>
              </w:rPr>
              <w:t>MATERIAL ELABORADO PARA O INSTRUMENTO. A marcação dos itens não substitui a análise do contexto nem comprova, por si só, conformidade legal.</w:t>
            </w:r>
          </w:p>
        </w:tc>
      </w:tr>
    </w:tbl>
    <w:p>
      <w:r>
        <w:rPr>
          <w:sz w:val="17"/>
        </w:rPr>
        <w:t>Organização: _________________________________     Data: ____/____/________     Responsável pela verificação: 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c>
          <w:tcPr>
            <w:tcW w:type="dxa" w:w="850"/>
            <w:shd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18"/>
            <w:shd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7087"/>
            <w:shd w:fill="D9E2F3"/>
          </w:tcPr>
          <w:p>
            <w:r>
              <w:rPr>
                <w:b/>
              </w:rPr>
              <w:t>O que verificar</w:t>
            </w:r>
          </w:p>
        </w:tc>
        <w:tc>
          <w:tcPr>
            <w:tcW w:type="dxa" w:w="3402"/>
            <w:shd w:fill="D9E2F3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Responsável identificado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Pessoa ou função claramente identificada como referência para coordenar segurança.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Reconhecimento da direção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A direção conhece e reconhece formalmente a designação.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Atribuições documentadas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Responsabilidades mínimas descritas em termo, função, política ou documento equivalente.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Escopo definido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Assuntos, sistemas, serviços e processos abrangidos estão claros.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Autoridade e escalonamento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Está definido quando o responsável decide e quando deve escalar riscos/incidentes.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Interação com áreas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Articulação prevista com TI, gestores, privacidade/LGPD, RH/administrativo e fornecedores, quando pertinente.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Comunicação interna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Públicos pertinentes sabem quem é o responsável e como acioná-lo.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Continuidade/substituição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Há cobertura das atividades essenciais durante férias, afastamentos ou desligamentos.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Registros de atuação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Existem registros mínimos de decisões, pendências, incidentes ou ações acompanhadas.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Revisão da designação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A designação é revista diante de mudanças relevantes de pessoa, estrutura ou responsabilidades.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spacing w:before="80"/>
      </w:pPr>
      <w:r>
        <w:rPr>
          <w:b/>
          <w:sz w:val="16"/>
        </w:rPr>
        <w:t xml:space="preserve">Interpretação: </w:t>
      </w:r>
      <w:r>
        <w:rPr>
          <w:sz w:val="16"/>
        </w:rPr>
        <w:t>itens não atendidos indicam pontos a formalizar ou revisar. A classificação 0-3 da Questão 1 continua sendo feita pelos critérios específicos do instrumento, e não pela contagem de caixas marcadas.</w:t>
      </w:r>
    </w:p>
    <w:p>
      <w:r>
        <w:t>Referência principal: NIST CSF 2.0 - GV.RR-02; GV.RR-01 como referência complementar. NIST SP 1300 como apoio à adoção proporcional em organizações de pequeno e médio porte.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Material de apoio do instrumento | Modelo adaptável - não constitui documento oficial ou homologado.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5"/>
      </w:rPr>
      <w:t>INSTRUMENTO DE 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