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CHECKLIST DE COBERTURA DE PAPÉIS E RESPONSABILIDADES</w:t>
      </w:r>
    </w:p>
    <w:p>
      <w:pPr>
        <w:jc w:val="center"/>
      </w:pPr>
      <w:r>
        <w:rPr>
          <w:i/>
          <w:color w:val="475569"/>
          <w:sz w:val="18"/>
        </w:rPr>
        <w:t>Material de apoio - Questão 2 do instrumento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MODELO ELABORADO PARA O INSTRUMENTO. Deve ser adaptado à estrutura, aos riscos, aos processos e às responsabilidades reais da organização. O preenchimento deste material não substitui a avaliação pelos critérios 0-3 do instrumento.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O que verificar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Observações</w:t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Direção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Responsabilidades por risco, decisão e recursos estão explícitas.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TI/Segurança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Execução e coordenação dos controles técnicos/organizacionais estão definidas.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Gestores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Aprovação de acessos, comunicação de mudanças e acompanhamento de equipe estão definidos.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RH/Administrativo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Admissão, mudança, desligamento e contratação de terceiros possuem responsabilidades.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Usuários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Uso adequado, proteção de credenciais e comunicação de incidentes estão definidos.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Fornecedores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Deveres de segurança e comunicação são previstos quando aplicável.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Substituições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Atividades essenciais possuem cobertura em ausências.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Comunicação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Os envolvidos conhecem as responsabilidades atribuídas.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Aplicação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Há evidência de execução das responsabilidades, e não apenas documento.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Revisão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Responsabilidades são revistas quando processos/pessoas mudam.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GV.RR-02.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2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