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MATRIZ RACI DE RESPONSABILIDADES DE SEGURANÇA</w:t>
      </w:r>
    </w:p>
    <w:p>
      <w:pPr>
        <w:jc w:val="center"/>
      </w:pPr>
      <w:r>
        <w:rPr>
          <w:i/>
          <w:color w:val="475569"/>
          <w:sz w:val="18"/>
        </w:rPr>
        <w:t>Modelo editável - Questão 2 do instrumento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p>
      <w:r>
        <w:rPr>
          <w:rFonts w:ascii="Liberation Sans" w:hAnsi="Liberation Sans"/>
          <w:b/>
          <w:color w:val="1E293B"/>
          <w:sz w:val="22"/>
        </w:rPr>
        <w:t>Como usar</w:t>
      </w:r>
    </w:p>
    <w:p>
      <w:pPr>
        <w:spacing w:after="80" w:line="259" w:lineRule="auto"/>
      </w:pPr>
      <w:r>
        <w:t>Para cada atividade, marque R = responsável por executar, A = autoridade que aprova/responde pelo resultado, C = consultado e I = informado. Evite deixar atividades críticas sem “A” ou com múltiplas pessoas acreditando que a outra executará.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Atividade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Direção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TI/Segurança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Gestor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RH/Adm.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Usuários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Fornecedor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Observações</w:t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Aprovar Política de Segurança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Criar/alterar acesso de usuário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Desligamento/revogação de acesso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Backup e restauração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R/A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Resposta inicial a incidente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R/A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 (comunicar)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Aceitar risco relevante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Contratar fornecedor crítico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Revisar acessos de terceiros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A/C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Conscientização/treinamento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A/I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R/C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 (participar)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GV.RR-02.</w:t>
      </w:r>
    </w:p>
    <w:p>
      <w:pPr>
        <w:pStyle w:val="ListBullet"/>
        <w:spacing w:after="30"/>
      </w:pPr>
      <w:r>
        <w:t>NIST SP 1300 - Small Business Quick-Start Guide.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2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