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MODELO DE POLÍTICA DE SEGURANÇA DA INFORMAÇÃO (PSI)</w:t>
      </w:r>
    </w:p>
    <w:p>
      <w:pPr>
        <w:jc w:val="center"/>
      </w:pPr>
      <w:r>
        <w:rPr>
          <w:i/>
          <w:color w:val="475569"/>
          <w:sz w:val="18"/>
        </w:rPr>
        <w:t>Modelo enxuto e adaptável - Questão 3 do instrumento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1. Objetivo</w:t>
      </w:r>
    </w:p>
    <w:p>
      <w:pPr>
        <w:spacing w:after="80" w:line="259" w:lineRule="auto"/>
      </w:pPr>
      <w:r>
        <w:t>Estabelecer princípios e regras gerais para proteger informações, sistemas, serviços e dados tratados pela organização, de forma proporcional aos riscos e à criticidade das atividades.</w:t>
      </w:r>
    </w:p>
    <w:p>
      <w:r>
        <w:rPr>
          <w:rFonts w:ascii="Liberation Sans" w:hAnsi="Liberation Sans"/>
          <w:b/>
          <w:color w:val="1E293B"/>
          <w:sz w:val="22"/>
        </w:rPr>
        <w:t>2. Escopo</w:t>
      </w:r>
    </w:p>
    <w:p>
      <w:pPr>
        <w:spacing w:after="80" w:line="259" w:lineRule="auto"/>
      </w:pPr>
      <w:r>
        <w:t>Aplica-se a colaboradores, gestores, prestadores, terceiros e demais pessoas que utilizem recursos ou informações da organização, conforme sua relação e acesso.</w:t>
      </w:r>
    </w:p>
    <w:p>
      <w:r>
        <w:rPr>
          <w:rFonts w:ascii="Liberation Sans" w:hAnsi="Liberation Sans"/>
          <w:b/>
          <w:color w:val="1E293B"/>
          <w:sz w:val="22"/>
        </w:rPr>
        <w:t>3. Papéis e responsabilidades</w:t>
      </w:r>
    </w:p>
    <w:p>
      <w:pPr>
        <w:spacing w:after="80" w:line="259" w:lineRule="auto"/>
      </w:pPr>
      <w:r>
        <w:t>A direção aprova a política e provê recursos; a função de segurança coordena e acompanha; a TI executa controles técnicos; gestores aprovam acessos e orientam equipes; usuários cumprem regras e comunicam incidentes; terceiros cumprem requisitos aplicáveis.</w:t>
      </w:r>
    </w:p>
    <w:p>
      <w:r>
        <w:rPr>
          <w:rFonts w:ascii="Liberation Sans" w:hAnsi="Liberation Sans"/>
          <w:b/>
          <w:color w:val="1E293B"/>
          <w:sz w:val="22"/>
        </w:rPr>
        <w:t>4. Controle de acesso</w:t>
      </w:r>
    </w:p>
    <w:p>
      <w:pPr>
        <w:spacing w:after="80" w:line="259" w:lineRule="auto"/>
      </w:pPr>
      <w:r>
        <w:t>Acessos devem ser individuais sempre que possível, concedidos conforme necessidade, revistos e revogados quando deixarem de ser necessários. Credenciais não devem ser compartilhadas.</w:t>
      </w:r>
    </w:p>
    <w:p>
      <w:r>
        <w:rPr>
          <w:rFonts w:ascii="Liberation Sans" w:hAnsi="Liberation Sans"/>
          <w:b/>
          <w:color w:val="1E293B"/>
          <w:sz w:val="22"/>
        </w:rPr>
        <w:t>5. Uso de equipamentos e sistemas</w:t>
      </w:r>
    </w:p>
    <w:p>
      <w:pPr>
        <w:spacing w:after="80" w:line="259" w:lineRule="auto"/>
      </w:pPr>
      <w:r>
        <w:t>Recursos corporativos devem ser utilizados para finalidades autorizadas. Instalações, alterações e uso de dispositivos devem observar regras internas e orientação da TI.</w:t>
      </w:r>
    </w:p>
    <w:p>
      <w:r>
        <w:rPr>
          <w:rFonts w:ascii="Liberation Sans" w:hAnsi="Liberation Sans"/>
          <w:b/>
          <w:color w:val="1E293B"/>
          <w:sz w:val="22"/>
        </w:rPr>
        <w:t>6. Proteção de dados e informações</w:t>
      </w:r>
    </w:p>
    <w:p>
      <w:pPr>
        <w:spacing w:after="80" w:line="259" w:lineRule="auto"/>
      </w:pPr>
      <w:r>
        <w:t>Dados pessoais e informações sensíveis devem ser acessados, compartilhados, armazenados e descartados somente conforme necessidade e autorização, observando requisitos aplicáveis.</w:t>
      </w:r>
    </w:p>
    <w:p>
      <w:r>
        <w:rPr>
          <w:rFonts w:ascii="Liberation Sans" w:hAnsi="Liberation Sans"/>
          <w:b/>
          <w:color w:val="1E293B"/>
          <w:sz w:val="22"/>
        </w:rPr>
        <w:t>7. Atualizações, vulnerabilidades e proteção técnica</w:t>
      </w:r>
    </w:p>
    <w:p>
      <w:pPr>
        <w:spacing w:after="80" w:line="259" w:lineRule="auto"/>
      </w:pPr>
      <w:r>
        <w:t>Sistemas e dispositivos devem receber atualizações e medidas de proteção compatíveis com o risco, respeitando restrições técnicas e disponibilidade dos serviços.</w:t>
      </w:r>
    </w:p>
    <w:p>
      <w:r>
        <w:rPr>
          <w:rFonts w:ascii="Liberation Sans" w:hAnsi="Liberation Sans"/>
          <w:b/>
          <w:color w:val="1E293B"/>
          <w:sz w:val="22"/>
        </w:rPr>
        <w:t>8. Backup e continuidade</w:t>
      </w:r>
    </w:p>
    <w:p>
      <w:pPr>
        <w:spacing w:after="80" w:line="259" w:lineRule="auto"/>
      </w:pPr>
      <w:r>
        <w:t>Informações e sistemas críticos devem possuir cópias de segurança e medidas de recuperação compatíveis com a necessidade do negócio, incluindo testes de restauração quando aplicável.</w:t>
      </w:r>
    </w:p>
    <w:p>
      <w:r>
        <w:rPr>
          <w:rFonts w:ascii="Liberation Sans" w:hAnsi="Liberation Sans"/>
          <w:b/>
          <w:color w:val="1E293B"/>
          <w:sz w:val="22"/>
        </w:rPr>
        <w:t>9. Incidentes de segurança</w:t>
      </w:r>
    </w:p>
    <w:p>
      <w:pPr>
        <w:spacing w:after="80" w:line="259" w:lineRule="auto"/>
      </w:pPr>
      <w:r>
        <w:t>Suspeitas de incidente devem ser comunicadas imediatamente pelo canal definido. A organização deverá registrar, avaliar, conter, recuperar e documentar ocorrências conforme procedimento próprio.</w:t>
      </w:r>
    </w:p>
    <w:p>
      <w:r>
        <w:rPr>
          <w:rFonts w:ascii="Liberation Sans" w:hAnsi="Liberation Sans"/>
          <w:b/>
          <w:color w:val="1E293B"/>
          <w:sz w:val="22"/>
        </w:rPr>
        <w:t>10. Terceiros</w:t>
      </w:r>
    </w:p>
    <w:p>
      <w:pPr>
        <w:spacing w:after="80" w:line="259" w:lineRule="auto"/>
      </w:pPr>
      <w:r>
        <w:t>Fornecedores com acesso a sistemas, dados ou ambientes devem cumprir requisitos de segurança proporcionais ao risco e possuir acessos controlados.</w:t>
      </w:r>
    </w:p>
    <w:p>
      <w:r>
        <w:rPr>
          <w:rFonts w:ascii="Liberation Sans" w:hAnsi="Liberation Sans"/>
          <w:b/>
          <w:color w:val="1E293B"/>
          <w:sz w:val="22"/>
        </w:rPr>
        <w:t>11. Conscientização</w:t>
      </w:r>
    </w:p>
    <w:p>
      <w:pPr>
        <w:spacing w:after="80" w:line="259" w:lineRule="auto"/>
      </w:pPr>
      <w:r>
        <w:t>Colaboradores e públicos pertinentes devem receber orientações de segurança adequadas às suas responsabilidades.</w:t>
      </w:r>
    </w:p>
    <w:p>
      <w:r>
        <w:rPr>
          <w:rFonts w:ascii="Liberation Sans" w:hAnsi="Liberation Sans"/>
          <w:b/>
          <w:color w:val="1E293B"/>
          <w:sz w:val="22"/>
        </w:rPr>
        <w:t>12. Exceções</w:t>
      </w:r>
    </w:p>
    <w:p>
      <w:pPr>
        <w:spacing w:after="80" w:line="259" w:lineRule="auto"/>
      </w:pPr>
      <w:r>
        <w:t>Exceções a esta política devem ser justificadas, avaliadas quanto ao risco e aprovadas pela autoridade definida.</w:t>
      </w:r>
    </w:p>
    <w:p>
      <w:r>
        <w:rPr>
          <w:rFonts w:ascii="Liberation Sans" w:hAnsi="Liberation Sans"/>
          <w:b/>
          <w:color w:val="1E293B"/>
          <w:sz w:val="22"/>
        </w:rPr>
        <w:t>13. Revisão</w:t>
      </w:r>
    </w:p>
    <w:p>
      <w:pPr>
        <w:spacing w:after="80" w:line="259" w:lineRule="auto"/>
      </w:pPr>
      <w:r>
        <w:t>A política deve ser revista periodicamente e quando houver mudança relevante de requisitos, tecnologia, processos ou incidentes que indiquem necessidade de atualização.</w:t>
      </w:r>
    </w:p>
    <w:p>
      <w:r>
        <w:rPr>
          <w:rFonts w:ascii="Liberation Sans" w:hAnsi="Liberation Sans"/>
          <w:b/>
          <w:color w:val="1E293B"/>
          <w:sz w:val="22"/>
        </w:rPr>
        <w:t>14. Aprovação e vigência</w:t>
      </w:r>
    </w:p>
    <w:p>
      <w:pPr>
        <w:spacing w:after="80" w:line="259" w:lineRule="auto"/>
      </w:pPr>
      <w:r>
        <w:t>Versão: [X.X] | Aprovada por: [DIREÇÃO] | Data: [DD/MM/AAAA] | Vigência: [DATA] | Próxima revisão: [DATA].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GV.PO-01.</w:t>
      </w:r>
    </w:p>
    <w:p>
      <w:pPr>
        <w:pStyle w:val="ListBullet"/>
        <w:spacing w:after="30"/>
      </w:pPr>
      <w:r>
        <w:t>LGPD, art. 50, como contexto de boas práticas e governança quando pertinente.</w:t>
      </w:r>
    </w:p>
    <w:p>
      <w:pPr>
        <w:pStyle w:val="ListBullet"/>
        <w:spacing w:after="30"/>
      </w:pPr>
      <w:r>
        <w:t>ANPD - Guia Orientativo sobre Segurança da Informação para Agentes de Tratamento de Pequeno Porte, seção sobre Política de Segurança da Informação.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3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