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EXEMPLO PREENCHIDO - RISCO DE RANSOMWARE</w:t>
      </w:r>
    </w:p>
    <w:p>
      <w:pPr>
        <w:jc w:val="center"/>
      </w:pPr>
      <w:r>
        <w:rPr>
          <w:i/>
          <w:color w:val="475569"/>
          <w:sz w:val="18"/>
        </w:rPr>
        <w:t>Exemplo fictício - Questão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EXEMPLO DIDÁTICO E FICTÍCIO. Os valores e decisões não devem ser copiados sem avaliação do contexto real.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Exemplo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Cenário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Ransomware compromete servidor e indisponibiliza RIS/PACS e arquivos compartilhados.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Ativos/processos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RIS/PACS, AD, compartilhamentos e estações administrativas.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Atraso/interrupção do atendimento, indisponibilidade de imagens/laudos, possível exposição de dados.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Controles existentes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Antivírus/EDR, backups diários, segmentação parcial, contas administrativas restritas.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Probabilidade (exemplo)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(exemplo)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Prioridade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Tratamento proposto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Validar backup offline/imutável, testar restauração, revisar privilégios, reforçar MFA/acesso remoto, plano de resposta.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Coordenação de TI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Prazo inicial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90 dias para ações prioritárias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Após testes de restauração e implantação das ações.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ID.RA-05.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p>
      <w:r>
        <w:rPr>
          <w:b/>
        </w:rPr>
        <w:t>Nota explicativa do exemplo</w:t>
      </w:r>
    </w:p>
    <w:p>
      <w:r>
        <w:rPr>
          <w:sz w:val="17"/>
        </w:rPr>
        <w:t>O exemplo mostra como registrar um risco de forma rastreável, mas o simples preenchimento do registro não comprova que o risco esteja adequadamente gerenciado. Os critérios para classificar, tratar ou aceitar riscos são tratados na Q6, e o acompanhamento dos riscos até tratamento ou aceite formal é tratado na Q23.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5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