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Liberation Sans" w:hAnsi="Liberation Sans"/>
          <w:b/>
          <w:color w:val="0F172A"/>
          <w:sz w:val="30"/>
        </w:rPr>
        <w:t>GUIA DE CRITÉRIOS DE CLASSIFICAÇÃO DE RISCOS</w:t>
      </w:r>
    </w:p>
    <w:p>
      <w:pPr>
        <w:jc w:val="center"/>
      </w:pPr>
      <w:r>
        <w:rPr>
          <w:i/>
          <w:color w:val="475569"/>
          <w:sz w:val="18"/>
        </w:rPr>
        <w:t>Implementação simplificada - Questão 6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EEF2FF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jc w:val="left"/>
            </w:pPr>
            <w:r>
              <w:rPr>
                <w:b/>
                <w:color w:val="312E81"/>
                <w:sz w:val="16"/>
              </w:rPr>
              <w:t>MODELO ELABORADO PARA O INSTRUMENTO. Deve ser adaptado à estrutura, aos riscos, aos processos e às responsabilidades reais da organização. O preenchimento deste material não substitui a avaliação pelos critérios 0-3 do instrumento.</w:t>
            </w:r>
          </w:p>
        </w:tc>
      </w:tr>
    </w:tbl>
    <w:p/>
    <w:p>
      <w:r>
        <w:rPr>
          <w:rFonts w:ascii="Liberation Sans" w:hAnsi="Liberation Sans"/>
          <w:b/>
          <w:color w:val="1E293B"/>
          <w:sz w:val="22"/>
        </w:rPr>
        <w:t>Impacto - exemplo de escala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vAlign w:val="center"/>
            <w:shd w:fill="F3F7FA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04" w:lineRule="auto"/>
            </w:pPr>
            <w:r>
              <w:rPr>
                <w:b/>
                <w:sz w:val="14"/>
              </w:rPr>
              <w:t xml:space="preserve">Legenda / termos usados — </w:t>
            </w:r>
            <w:r>
              <w:rPr>
                <w:sz w:val="13"/>
              </w:rPr>
              <w:t>RIS/PACS: RIS gerencia o fluxo administrativo/assistencial do exame; PACS armazena e disponibiliza imagens médicas.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E2E8F0"/>
            <w:vAlign w:val="center"/>
          </w:tcPr>
          <w:p>
            <w:r>
              <w:rPr>
                <w:b/>
                <w:sz w:val="16"/>
              </w:rPr>
              <w:t>Nível</w:t>
            </w:r>
          </w:p>
        </w:tc>
        <w:tc>
          <w:tcPr>
            <w:tcW w:type="dxa" w:w="3437"/>
            <w:shd w:fill="E2E8F0"/>
            <w:vAlign w:val="center"/>
          </w:tcPr>
          <w:p>
            <w:r>
              <w:rPr>
                <w:b/>
                <w:sz w:val="16"/>
              </w:rPr>
              <w:t>Definição prática</w:t>
            </w:r>
          </w:p>
        </w:tc>
        <w:tc>
          <w:tcPr>
            <w:tcW w:type="dxa" w:w="3437"/>
            <w:shd w:fill="E2E8F0"/>
            <w:vAlign w:val="center"/>
          </w:tcPr>
          <w:p>
            <w:r>
              <w:rPr>
                <w:b/>
                <w:sz w:val="16"/>
              </w:rPr>
              <w:t>Exemplos possíveis</w:t>
            </w:r>
          </w:p>
        </w:tc>
      </w:tr>
      <w:tr>
        <w:tc>
          <w:tcPr>
            <w:tcW w:type="dxa" w:w="34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1 - Baixo</w:t>
            </w:r>
          </w:p>
        </w:tc>
        <w:tc>
          <w:tcPr>
            <w:tcW w:type="dxa" w:w="34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Interrupção pequena, sem impacto relevante em dados/atendimento, recuperação simples.</w:t>
            </w:r>
          </w:p>
        </w:tc>
        <w:tc>
          <w:tcPr>
            <w:tcW w:type="dxa" w:w="34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Falha localizada, solução rápida, sem dado sensível exposto.</w:t>
            </w:r>
          </w:p>
        </w:tc>
      </w:tr>
      <w:tr>
        <w:tc>
          <w:tcPr>
            <w:tcW w:type="dxa" w:w="34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2 - Médio</w:t>
            </w:r>
          </w:p>
        </w:tc>
        <w:tc>
          <w:tcPr>
            <w:tcW w:type="dxa" w:w="34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Impacto operacional relevante, atraso, esforço de recuperação ou exposição limitada.</w:t>
            </w:r>
          </w:p>
        </w:tc>
        <w:tc>
          <w:tcPr>
            <w:tcW w:type="dxa" w:w="34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Indisponibilidade de setor por horas, perda recuperável, incidente restrito.</w:t>
            </w:r>
          </w:p>
        </w:tc>
      </w:tr>
      <w:tr>
        <w:tc>
          <w:tcPr>
            <w:tcW w:type="dxa" w:w="34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3 - Alto</w:t>
            </w:r>
          </w:p>
        </w:tc>
        <w:tc>
          <w:tcPr>
            <w:tcW w:type="dxa" w:w="34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Interrupção importante, risco a dados sensíveis, atendimento ou obrigações relevantes.</w:t>
            </w:r>
          </w:p>
        </w:tc>
        <w:tc>
          <w:tcPr>
            <w:tcW w:type="dxa" w:w="34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RIS/PACS indisponível, ransomware, acesso indevido a grande volume, perda de backup crítico.</w:t>
            </w:r>
          </w:p>
        </w:tc>
      </w:tr>
    </w:tbl>
    <w:p>
      <w:r>
        <w:rPr>
          <w:rFonts w:ascii="Liberation Sans" w:hAnsi="Liberation Sans"/>
          <w:b/>
          <w:color w:val="1E293B"/>
          <w:sz w:val="22"/>
        </w:rPr>
        <w:t>Probabilidade - exemplo de escala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E2E8F0"/>
            <w:vAlign w:val="center"/>
          </w:tcPr>
          <w:p>
            <w:r>
              <w:rPr>
                <w:b/>
                <w:sz w:val="16"/>
              </w:rPr>
              <w:t>Nível</w:t>
            </w:r>
          </w:p>
        </w:tc>
        <w:tc>
          <w:tcPr>
            <w:tcW w:type="dxa" w:w="5156"/>
            <w:shd w:fill="E2E8F0"/>
            <w:vAlign w:val="center"/>
          </w:tcPr>
          <w:p>
            <w:r>
              <w:rPr>
                <w:b/>
                <w:sz w:val="16"/>
              </w:rPr>
              <w:t>Definição prática</w:t>
            </w:r>
          </w:p>
        </w:tc>
      </w:tr>
      <w:tr>
        <w:tc>
          <w:tcPr>
            <w:tcW w:type="dxa" w:w="51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1 - Baixa</w:t>
            </w:r>
          </w:p>
        </w:tc>
        <w:tc>
          <w:tcPr>
            <w:tcW w:type="dxa" w:w="51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Pouco provável nas condições atuais; controles fortes e poucos sinais de ocorrência.</w:t>
            </w:r>
          </w:p>
        </w:tc>
      </w:tr>
      <w:tr>
        <w:tc>
          <w:tcPr>
            <w:tcW w:type="dxa" w:w="51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2 - Média</w:t>
            </w:r>
          </w:p>
        </w:tc>
        <w:tc>
          <w:tcPr>
            <w:tcW w:type="dxa" w:w="51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Pode ocorrer; existem exposições ou histórico/ameaças compatíveis.</w:t>
            </w:r>
          </w:p>
        </w:tc>
      </w:tr>
      <w:tr>
        <w:tc>
          <w:tcPr>
            <w:tcW w:type="dxa" w:w="51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3 - Alta</w:t>
            </w:r>
          </w:p>
        </w:tc>
        <w:tc>
          <w:tcPr>
            <w:tcW w:type="dxa" w:w="51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Ocorrência provável ou recorrente; exposição significativa ou controles insuficientes.</w:t>
            </w:r>
          </w:p>
        </w:tc>
      </w:tr>
    </w:tbl>
    <w:p>
      <w:r>
        <w:rPr>
          <w:rFonts w:ascii="Liberation Sans" w:hAnsi="Liberation Sans"/>
          <w:b/>
          <w:color w:val="1E293B"/>
          <w:sz w:val="22"/>
        </w:rPr>
        <w:t>Regra de decisão - exemplo</w:t>
      </w:r>
    </w:p>
    <w:p>
      <w:pPr>
        <w:spacing w:after="80" w:line="259" w:lineRule="auto"/>
      </w:pPr>
      <w:r>
        <w:t>A organização pode combinar impacto e probabilidade em uma matriz 3x3 e definir faixas de prioridade. O importante é documentar os critérios, exemplos e autoridade de decisão. Evite tratar o resultado matemático como verdade absoluta: contexto clínico, dependências e risco residual devem ser considerados.</w:t>
      </w:r>
    </w:p>
    <w:p>
      <w:r>
        <w:rPr>
          <w:rFonts w:ascii="Liberation Sans" w:hAnsi="Liberation Sans"/>
          <w:b/>
          <w:color w:val="1E293B"/>
          <w:sz w:val="22"/>
        </w:rPr>
        <w:t>Opções de resposta</w:t>
      </w:r>
    </w:p>
    <w:p>
      <w:pPr>
        <w:pStyle w:val="ListBullet"/>
        <w:spacing w:after="30"/>
      </w:pPr>
      <w:r>
        <w:t>Tratar: reduzir probabilidade e/ou impacto por controles.</w:t>
      </w:r>
    </w:p>
    <w:p>
      <w:pPr>
        <w:pStyle w:val="ListBullet"/>
        <w:spacing w:after="30"/>
      </w:pPr>
      <w:r>
        <w:t>Evitar: interromper ou alterar a atividade que gera o risco.</w:t>
      </w:r>
    </w:p>
    <w:p>
      <w:pPr>
        <w:pStyle w:val="ListBullet"/>
        <w:spacing w:after="30"/>
      </w:pPr>
      <w:r>
        <w:t>Transferir/compartilhar: usar contrato, seguro ou terceiro sem eliminar a responsabilidade de gestão.</w:t>
      </w:r>
    </w:p>
    <w:p>
      <w:pPr>
        <w:pStyle w:val="ListBullet"/>
        <w:spacing w:after="30"/>
      </w:pPr>
      <w:r>
        <w:t>Aceitar: decisão consciente e documentada, com autoridade, justificativa e revisão futura.</w:t>
      </w:r>
    </w:p>
    <w:p>
      <w:r>
        <w:rPr>
          <w:rFonts w:ascii="Liberation Sans" w:hAnsi="Liberation Sans"/>
          <w:b/>
          <w:color w:val="1E293B"/>
          <w:sz w:val="22"/>
        </w:rPr>
        <w:t>Referências de apoio</w:t>
      </w:r>
    </w:p>
    <w:p>
      <w:pPr>
        <w:pStyle w:val="ListBullet"/>
        <w:spacing w:after="30"/>
      </w:pPr>
      <w:r>
        <w:t>NIST CSF 2.0 - GV.RM-06, GV.RM-04 e GV.RM-02.</w:t>
      </w:r>
    </w:p>
    <w:p>
      <w:pPr>
        <w:spacing w:after="80" w:line="259" w:lineRule="auto"/>
      </w:pPr>
      <w:r>
        <w:t>Nota: as referências indicam bases de apoio ao controle. Este material não declara conformidade legal, certificação ou nível de segurança da organização.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07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5"/>
      </w:rPr>
      <w:t xml:space="preserve">Material de apoio - Questão 6 | Página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Liberation Sans" w:hAnsi="Liberation Sans"/>
        <w:b/>
        <w:color w:val="475569"/>
        <w:sz w:val="15"/>
      </w:rPr>
      <w:t>INSTRUMENTO DE AUTOAVALIAÇÃO DE CONTROLES DE SEGURANÇA CIBERNÉTICA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