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MATRIZ DE CRITICIDADE DE FORNECEDORES</w:t>
      </w:r>
    </w:p>
    <w:p>
      <w:pPr>
        <w:jc w:val="center"/>
      </w:pPr>
      <w:r>
        <w:rPr>
          <w:i/>
          <w:color w:val="475569"/>
          <w:sz w:val="18"/>
        </w:rPr>
        <w:t>Classificação prévia - Questão 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Critério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Baixa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Média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Alta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Classificação do fornecedor</w:t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Impacto no atendimento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Sem impacto significativo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Atraso/impacto parcial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Interrompe serviço crítico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Acesso a dados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Nenhum/baixo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Dados limitados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Dados sensíveis/volume relevante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Acesso técnico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Sem acesso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Acesso restrito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Remoto/privilegiado/rede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Substituibilidade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Fácil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Requer esforço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Difícil/lock-in/dependência alta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Hospedagem/processamento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Não processa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Processa dados limitados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Hospeda/processa sistema/dados críticos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Continuidade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Não crítica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Impacto moderado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Disponibilidade essencial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Decisão de profundidade da due diligence</w:t>
      </w:r>
    </w:p>
    <w:p>
      <w:pPr>
        <w:spacing w:after="80" w:line="259" w:lineRule="auto"/>
      </w:pPr>
      <w:r>
        <w:t>Fornecedores classificados como mais críticos devem receber avaliação mais detalhada e evidências adicionais. A organização deve definir sua própria regra; a tabela acima é um apoio inicial e não uma classificação automática de risco.</w:t>
      </w:r>
    </w:p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GV.SC-06 e ID.RA-10.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10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