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DE ENCERRAMENTO DE ACESSOS DE TERCEIROS</w:t>
      </w:r>
    </w:p>
    <w:p>
      <w:pPr>
        <w:jc w:val="center"/>
      </w:pPr>
      <w:r>
        <w:rPr>
          <w:i/>
          <w:color w:val="475569"/>
          <w:sz w:val="18"/>
        </w:rPr>
        <w:t>Offboarding - Questão 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Canal/ativo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Verificação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Evidência/observação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VPN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Conta/certificado/token desativado.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 Directory/identidade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Conta bloqueada/removida e grupos revisados.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RIS/PACS/aplicações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Usuários e perfis revogados.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 remoto/fabricante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Ferramenta, whitelist, regra ou credencial removida.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Firewall/rede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Regras temporárias ou endereços autorizados revisados.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Credenciais locais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Senhas/contas técnicas compartilhadas alteradas quando necessário.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Portais/e-mail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Acessos web, caixas, links e grupos removidos.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Equipamentos/chaves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Ativos, tokens, crachás ou chaves devolvidos.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Dados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Devolução/eliminação/tratamento final conforme contrato e necessidade.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Gestor do contrato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Confirmação de encerramento e ausência de acesso necessário.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Data, executor e evidência do offboarding arquivados.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GV.SC-10 e PR.AA-05.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12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