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spacing w:after="40" w:before="0" w:line="240" w:lineRule="auto"/>
        <w:jc w:val="center"/>
      </w:pPr>
      <w:r>
        <w:t>EXEMPLO PREENCHIDO DE INVENTÁRIO TÉCNICO</w:t>
      </w:r>
    </w:p>
    <w:p>
      <w:pPr>
        <w:spacing w:after="40" w:before="0" w:line="240" w:lineRule="auto"/>
        <w:jc w:val="center"/>
      </w:pPr>
      <w:r>
        <w:rPr>
          <w:i/>
          <w:color w:val="5C6B82"/>
          <w:sz w:val="18"/>
        </w:rPr>
        <w:t>Exemplo fictício para orientar o preenchimento — Questão 13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EAF0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color w:val="172033"/>
                <w:sz w:val="19"/>
              </w:rPr>
              <w:t>Adapte o conteúdo à estrutura, aos riscos, aos processos e às responsabilidades reais da clínica. O preenchimento deste material não substitui a avaliação pelos critérios 0–3 do instrumento.</w:t>
            </w:r>
          </w:p>
        </w:tc>
      </w:tr>
    </w:tbl>
    <w:p>
      <w:pPr>
        <w:spacing w:after="40" w:before="0" w:line="240" w:lineRule="auto"/>
      </w:pPr>
      <w:r>
        <w:rPr>
          <w:b/>
          <w:color w:val="243B6B"/>
        </w:rPr>
        <w:t xml:space="preserve">Questão 13 — </w:t>
      </w:r>
      <w:r>
        <w:t>Existe inventário atualizado dos equipamentos, dispositivos, servidores e demais ativos tecnológicos, incluindo equipamentos médicos conectados à rede quando aplicável?</w:t>
      </w:r>
    </w:p>
    <w:p>
      <w:pPr>
        <w:spacing w:after="40" w:before="0" w:line="240" w:lineRule="auto"/>
      </w:pPr>
      <w:r>
        <w:rPr>
          <w:b/>
        </w:rPr>
        <w:t xml:space="preserve">Evidência esperada no instrumento: </w:t>
      </w:r>
      <w:r>
        <w:t>inventário, CMDB, planilha, ferramenta de gestão ou relatório automatizado</w:t>
      </w:r>
    </w:p>
    <w:p>
      <w:pPr>
        <w:spacing w:after="40" w:before="0" w:line="240" w:lineRule="auto"/>
      </w:pPr>
      <w:r>
        <w:rPr>
          <w:b/>
        </w:rPr>
        <w:t xml:space="preserve">Base principal: </w:t>
      </w:r>
      <w:r>
        <w:t>NIST CSF 2.0 — ID.AM-01</w:t>
      </w:r>
    </w:p>
    <w:p>
      <w:pPr>
        <w:pStyle w:val="Heading1"/>
        <w:spacing w:after="40" w:before="0" w:line="240" w:lineRule="auto"/>
      </w:pPr>
      <w:r>
        <w:t>Exemplo fictício</w:t>
      </w:r>
    </w:p>
    <w:p>
      <w:pPr>
        <w:spacing w:after="40" w:before="0" w:line="240" w:lineRule="auto"/>
      </w:pPr>
      <w:r>
        <w:t>Os registros abaixo servem apenas para demonstrar o nível de detalhe esperado. Substitua todos os dados pela realidade da clínica.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RIS/PACS: RIS gerencia o fluxo administrativo/assistencial do exame; PACS armazena e disponibiliza imagens médicas.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VLAN: rede local virtual; segmentação lógica da rede.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IP: protocolo de rede; endereço IP identifica logicamente um equipamento/interface.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DHCP: serviço que distribui automaticamente parâmetros de rede, como IP, gateway e DNS.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CMDB: base de itens de configuração/ativos e seus relacionamentos.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rPr>
          <w:tblHeader w:val="true"/>
        </w:trPr>
        <w:tc>
          <w:tcPr>
            <w:tcW w:type="dxa" w:w="117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ID</w:t>
            </w:r>
          </w:p>
        </w:tc>
        <w:tc>
          <w:tcPr>
            <w:tcW w:type="dxa" w:w="117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Categoria</w:t>
            </w:r>
          </w:p>
        </w:tc>
        <w:tc>
          <w:tcPr>
            <w:tcW w:type="dxa" w:w="117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Ativo / hostname</w:t>
            </w:r>
          </w:p>
        </w:tc>
        <w:tc>
          <w:tcPr>
            <w:tcW w:type="dxa" w:w="117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Fabricante / modelo</w:t>
            </w:r>
          </w:p>
        </w:tc>
        <w:tc>
          <w:tcPr>
            <w:tcW w:type="dxa" w:w="117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Serial / patrimônio</w:t>
            </w:r>
          </w:p>
        </w:tc>
        <w:tc>
          <w:tcPr>
            <w:tcW w:type="dxa" w:w="117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IP / VLAN</w:t>
            </w:r>
          </w:p>
        </w:tc>
        <w:tc>
          <w:tcPr>
            <w:tcW w:type="dxa" w:w="117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Unidade / local</w:t>
            </w:r>
          </w:p>
        </w:tc>
        <w:tc>
          <w:tcPr>
            <w:tcW w:type="dxa" w:w="117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Responsável</w:t>
            </w:r>
          </w:p>
        </w:tc>
        <w:tc>
          <w:tcPr>
            <w:tcW w:type="dxa" w:w="117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Criticidade</w:t>
            </w:r>
          </w:p>
        </w:tc>
        <w:tc>
          <w:tcPr>
            <w:tcW w:type="dxa" w:w="117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Suporte / fim de vida</w:t>
            </w:r>
          </w:p>
        </w:tc>
        <w:tc>
          <w:tcPr>
            <w:tcW w:type="dxa" w:w="117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Status</w:t>
            </w:r>
          </w:p>
        </w:tc>
        <w:tc>
          <w:tcPr>
            <w:tcW w:type="dxa" w:w="117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Última conferência</w:t>
            </w:r>
          </w:p>
        </w:tc>
      </w:tr>
      <w:tr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ATV-001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Servidor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RIS-APP01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HPE DL360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SN00001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192.168.10.12 / VLAN 10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CPD Unidade A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TI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Alta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Fornecedor / 2028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Produção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15/08/2026</w:t>
            </w:r>
          </w:p>
        </w:tc>
      </w:tr>
      <w:tr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ATV-002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Storage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PACS-STG01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Dell ME5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SN00002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192.168.10.30 / VLAN 10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CPD Unidade A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TI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Alta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Fornecedor / 2029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Produção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15/08/2026</w:t>
            </w:r>
          </w:p>
        </w:tc>
      </w:tr>
      <w:tr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ATV-003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Firewall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FW-BORDA01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Fortinet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SN00003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WAN/LAN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CPD Unidade A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TI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Alta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Contrato MSSP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Produção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16/08/2026</w:t>
            </w:r>
          </w:p>
        </w:tc>
      </w:tr>
      <w:tr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ATV-004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Equip. médico conectado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CT-01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Fabricante exemplo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SN00004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192.168.30.21 / VLAN 30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Tomografia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Eng. clínica/TI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Alta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Fornecedor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Produção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18/08/2026</w:t>
            </w:r>
          </w:p>
        </w:tc>
      </w:tr>
      <w:tr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ATV-005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Notebook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ADM-NB07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Lenovo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SN00005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DHCP / VLAN 40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Administrativo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Administrativo/TI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Média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Interno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Produção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19/08/2026</w:t>
            </w:r>
          </w:p>
        </w:tc>
      </w:tr>
    </w:tbl>
    <w:p>
      <w:pPr>
        <w:pStyle w:val="Heading2"/>
        <w:spacing w:after="40" w:before="0" w:line="240" w:lineRule="auto"/>
      </w:pPr>
      <w:r>
        <w:t>O que este exemplo demonstra</w:t>
      </w:r>
    </w:p>
    <w:p>
      <w:pPr>
        <w:spacing w:after="40" w:before="0" w:line="240" w:lineRule="auto"/>
        <w:ind w:left="173"/>
      </w:pPr>
      <w:r>
        <w:rPr>
          <w:b w:val="0"/>
        </w:rPr>
        <w:t xml:space="preserve">• </w:t>
      </w:r>
      <w:r>
        <w:t>Cobertura de diferentes categorias de ativo.</w:t>
      </w:r>
    </w:p>
    <w:p>
      <w:pPr>
        <w:spacing w:after="40" w:before="0" w:line="240" w:lineRule="auto"/>
        <w:ind w:left="173"/>
      </w:pPr>
      <w:r>
        <w:rPr>
          <w:b w:val="0"/>
        </w:rPr>
        <w:t xml:space="preserve">• </w:t>
      </w:r>
      <w:r>
        <w:t>Identificação técnica suficiente para investigação e suporte.</w:t>
      </w:r>
    </w:p>
    <w:p>
      <w:pPr>
        <w:spacing w:after="40" w:before="0" w:line="240" w:lineRule="auto"/>
        <w:ind w:left="173"/>
      </w:pPr>
      <w:r>
        <w:rPr>
          <w:b w:val="0"/>
        </w:rPr>
        <w:t xml:space="preserve">• </w:t>
      </w:r>
      <w:r>
        <w:t>Responsabilidade e localização.</w:t>
      </w:r>
    </w:p>
    <w:p>
      <w:pPr>
        <w:spacing w:after="40" w:before="0" w:line="240" w:lineRule="auto"/>
        <w:ind w:left="173"/>
      </w:pPr>
      <w:r>
        <w:rPr>
          <w:b w:val="0"/>
        </w:rPr>
        <w:t xml:space="preserve">• </w:t>
      </w:r>
      <w:r>
        <w:t>Criticidade e situação de suporte.</w:t>
      </w:r>
    </w:p>
    <w:p>
      <w:pPr>
        <w:spacing w:after="40" w:before="0" w:line="240" w:lineRule="auto"/>
        <w:ind w:left="173"/>
      </w:pPr>
      <w:r>
        <w:rPr>
          <w:b w:val="0"/>
        </w:rPr>
        <w:t xml:space="preserve">• </w:t>
      </w:r>
      <w:r>
        <w:t>Evidência de atualização por data de conferência.</w:t>
      </w:r>
    </w:p>
    <w:p>
      <w:r>
        <w:rPr>
          <w:b/>
        </w:rPr>
        <w:t>Nota explicativa do exemplo</w:t>
      </w:r>
    </w:p>
    <w:p>
      <w:r>
        <w:rPr>
          <w:sz w:val="17"/>
        </w:rPr>
        <w:t>O exemplo ilustra o nível de detalhe esperado em um inventário, mas deve ser adaptado aos ativos reais da organização. A definição de responsáveis pelos ativos é tratada na Q15, e a classificação por criticidade é tratada na Q16.</w:t>
      </w:r>
    </w:p>
    <w:sectPr w:rsidR="00FC693F" w:rsidRPr="0006063C" w:rsidSect="00034616">
      <w:footerReference w:type="default" r:id="rId9"/>
      <w:pgSz w:w="15840" w:h="12240" w:orient="landscape"/>
      <w:pgMar w:top="648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13 | Exemplo de inventário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