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spacing w:after="40" w:before="0" w:line="240" w:lineRule="auto"/>
        <w:jc w:val="center"/>
      </w:pPr>
      <w:r>
        <w:t>TERMO DE DESIGNAÇÃO DE RESPONSÁVEL POR SISTEMA</w:t>
      </w:r>
    </w:p>
    <w:p>
      <w:pPr>
        <w:spacing w:after="40" w:before="0" w:line="240" w:lineRule="auto"/>
        <w:jc w:val="center"/>
      </w:pPr>
      <w:r>
        <w:rPr>
          <w:i/>
          <w:color w:val="5C6B82"/>
          <w:sz w:val="18"/>
        </w:rPr>
        <w:t>Modelo simples de custódia e responsabilidade — Questão 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>
      <w:pPr>
        <w:spacing w:after="40" w:before="0" w:line="240" w:lineRule="auto"/>
      </w:pPr>
      <w:r>
        <w:rPr>
          <w:b/>
          <w:color w:val="243B6B"/>
        </w:rPr>
        <w:t xml:space="preserve">Questão 15 — </w:t>
      </w:r>
      <w:r>
        <w:t>Os ativos e sistemas possuem responsáveis definidos por sua administração, manutenção e proteção?</w:t>
      </w:r>
    </w:p>
    <w:p>
      <w:pPr>
        <w:spacing w:after="40" w:before="0" w:line="240" w:lineRule="auto"/>
      </w:pPr>
      <w:r>
        <w:rPr>
          <w:b/>
        </w:rPr>
        <w:t xml:space="preserve">Evidência esperada no instrumento: </w:t>
      </w:r>
      <w:r>
        <w:t>matriz de responsáveis, contratos de suporte, responsáveis técnicos/administrativos</w:t>
      </w:r>
    </w:p>
    <w:p>
      <w:pPr>
        <w:spacing w:after="40" w:before="0" w:line="240" w:lineRule="auto"/>
      </w:pPr>
      <w:r>
        <w:rPr>
          <w:b/>
        </w:rPr>
        <w:t xml:space="preserve">Base principal: </w:t>
      </w:r>
      <w:r>
        <w:t>NIST CSF 2.0 — GV.RR-02</w:t>
      </w:r>
    </w:p>
    <w:p>
      <w:pPr>
        <w:pStyle w:val="Heading1"/>
        <w:spacing w:after="40" w:before="0" w:line="240" w:lineRule="auto"/>
      </w:pPr>
      <w:r>
        <w:t>Identificação do sistema/ativo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Sistema/ativo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Finalidade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Unidade/processo atendido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Criticidade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Responsável de negócio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Responsável técnico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Fornecedor/suporte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Substituto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p>
      <w:pPr>
        <w:pStyle w:val="Heading1"/>
        <w:spacing w:after="40" w:before="0" w:line="240" w:lineRule="auto"/>
      </w:pPr>
      <w:r>
        <w:t>Responsabilidades mínimas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Manter contato atualizado com suporte e responsáveis.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Participar da aprovação de mudanças relevantes.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Apoiar revisão de acessos e privilégios.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Acompanhar riscos, incidentes e indisponibilidades relacionados ao sistema.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Garantir que documentação essencial e contatos de contingência estejam disponíveis.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Informar mudanças de responsabilidade, fornecedor ou uso.</w:t>
      </w:r>
    </w:p>
    <w:p>
      <w:pPr>
        <w:pStyle w:val="Heading1"/>
        <w:spacing w:after="40" w:before="0" w:line="240" w:lineRule="auto"/>
      </w:pPr>
      <w:r>
        <w:t>Aprovação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50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Nome/função</w:t>
            </w:r>
          </w:p>
        </w:tc>
        <w:tc>
          <w:tcPr>
            <w:tcW w:type="dxa" w:w="350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Data</w:t>
            </w:r>
          </w:p>
        </w:tc>
        <w:tc>
          <w:tcPr>
            <w:tcW w:type="dxa" w:w="3504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Assinatura/ciência</w:t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Responsável de negócio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Responsável técnico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Gestão/direção, quando aplicável</w:t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350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15 | Termo de designação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