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C6B82"/>
          <w:sz w:val="17"/>
        </w:rPr>
        <w:t>INSTRUMENTO DE AUTOAVALIAÇÃO DE CONTROLES DE SEGURANÇA CIBERNÉTICA</w:t>
      </w:r>
    </w:p>
    <w:p>
      <w:pPr>
        <w:pStyle w:val="Title"/>
        <w:jc w:val="center"/>
      </w:pPr>
      <w:r>
        <w:t>DICIONÁRIO SIMPLIFICADO DE CATEGORIAS DE DADOS</w:t>
      </w:r>
    </w:p>
    <w:p>
      <w:pPr>
        <w:jc w:val="center"/>
      </w:pPr>
      <w:r>
        <w:rPr>
          <w:i/>
          <w:color w:val="5C6B82"/>
          <w:sz w:val="22"/>
        </w:rPr>
        <w:t>Vocabulário comum para o inventário — Questão 17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shd w:fill="EAF0FF"/>
            <w:tcMar>
              <w:top w:w="130" w:type="dxa"/>
              <w:start w:w="160" w:type="dxa"/>
              <w:bottom w:w="130" w:type="dxa"/>
              <w:end w:w="160" w:type="dxa"/>
            </w:tcMar>
          </w:tcPr>
          <w:p>
            <w:r>
              <w:rPr>
                <w:b/>
                <w:color w:val="243B6B"/>
              </w:rPr>
              <w:t xml:space="preserve">MODELO DE APOIO AO INSTRUMENTO. </w:t>
            </w:r>
            <w:r>
              <w:rPr>
                <w:color w:val="172033"/>
                <w:sz w:val="19"/>
              </w:rPr>
              <w:t>Adapte o conteúdo à estrutura, aos riscos, aos processos e às responsabilidades reais da clínica. O preenchimento deste material não substitui a avaliação pelos critérios 0–3 do instrumento.</w:t>
            </w:r>
          </w:p>
        </w:tc>
      </w:tr>
    </w:tbl>
    <w:p/>
    <w:p>
      <w:r>
        <w:rPr>
          <w:b/>
          <w:color w:val="243B6B"/>
        </w:rPr>
        <w:t xml:space="preserve">Questão 17 — </w:t>
      </w:r>
      <w:r>
        <w:t>Os tipos de dados pessoais e dados pessoais sensíveis tratados pela organização estão identificados?</w:t>
      </w:r>
    </w:p>
    <w:p>
      <w:r>
        <w:rPr>
          <w:b/>
        </w:rPr>
        <w:t xml:space="preserve">Evidência esperada no instrumento: </w:t>
      </w:r>
      <w:r>
        <w:t>inventário de dados, registro de operações, mapa de dados</w:t>
      </w:r>
    </w:p>
    <w:p>
      <w:r>
        <w:rPr>
          <w:b/>
        </w:rPr>
        <w:t xml:space="preserve">Base principal: </w:t>
      </w:r>
      <w:r>
        <w:t>NIST CSF 2.0 — ID.AM-07</w:t>
      </w:r>
    </w:p>
    <w:p/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0512"/>
      </w:tblGrid>
      <w:tr>
        <w:tc>
          <w:tcPr>
            <w:tcW w:type="dxa" w:w="10512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RIS/PACS: RIS gerencia o fluxo administrativo/assistencial do exame; PACS armazena e disponibiliza imagens médicas.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rPr>
          <w:tblHeader w:val="true"/>
        </w:trPr>
        <w:tc>
          <w:tcPr>
            <w:tcW w:type="dxa" w:w="210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Categoria</w:t>
            </w:r>
          </w:p>
        </w:tc>
        <w:tc>
          <w:tcPr>
            <w:tcW w:type="dxa" w:w="210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Exemplos de atributos</w:t>
            </w:r>
          </w:p>
        </w:tc>
        <w:tc>
          <w:tcPr>
            <w:tcW w:type="dxa" w:w="210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Sensível?</w:t>
            </w:r>
          </w:p>
        </w:tc>
        <w:tc>
          <w:tcPr>
            <w:tcW w:type="dxa" w:w="210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Uso típico na clínica</w:t>
            </w:r>
          </w:p>
        </w:tc>
        <w:tc>
          <w:tcPr>
            <w:tcW w:type="dxa" w:w="2102"/>
            <w:shd w:fill="E9EEF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/>
            <w:r>
              <w:rPr>
                <w:b/>
                <w:color w:val="172033"/>
                <w:sz w:val="16"/>
              </w:rPr>
              <w:t>Observações</w:t>
            </w:r>
          </w:p>
        </w:tc>
      </w:tr>
      <w:tr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Identificação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Nome, CPF, RG, data de nascimento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Não, em regra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Cadastro/atendimento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Pode se tornar mais sensível pelo contexto.</w:t>
            </w:r>
          </w:p>
        </w:tc>
      </w:tr>
      <w:tr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Contato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Telefone, e-mail, endereço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Não, em regra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Agendamento/comunicação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Financeiro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Dados de cobrança, pagamentos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Não, em regra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Financeiro/faturamento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Saúde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Exames, laudos, diagnósticos, imagens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Sim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Assistencial/RIS/PACS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Dado pessoal sensível pela LGPD.</w:t>
            </w:r>
          </w:p>
        </w:tc>
      </w:tr>
      <w:tr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Biométrico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Impressão digital, reconhecimento biométrico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Sim, quando vinculado a pessoa natural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Controle de acesso/ponto, quando aplicável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  <w:tr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Profissional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Cargo, setor, matrícula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Não, em regra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  <w:t>RH e acessos</w:t>
            </w:r>
          </w:p>
        </w:tc>
        <w:tc>
          <w:tcPr>
            <w:tcW w:type="dxa" w:w="2102"/>
            <w:vAlign w:val="center"/>
            <w:tcMar>
              <w:top w:w="55" w:type="dxa"/>
              <w:start w:w="65" w:type="dxa"/>
              <w:bottom w:w="55" w:type="dxa"/>
              <w:end w:w="65" w:type="dxa"/>
            </w:tcMar>
          </w:tcPr>
          <w:p>
            <w:r/>
            <w:r>
              <w:rPr>
                <w:b w:val="0"/>
                <w:color w:val="172033"/>
                <w:sz w:val="16"/>
              </w:rPr>
            </w:r>
          </w:p>
        </w:tc>
      </w:tr>
    </w:tbl>
    <w:p/>
    <w:p>
      <w:pPr>
        <w:pStyle w:val="Heading2"/>
      </w:pPr>
      <w:r>
        <w:t>Uso</w:t>
      </w:r>
    </w:p>
    <w:p>
      <w:pPr>
        <w:ind w:left="173"/>
      </w:pPr>
      <w:r>
        <w:rPr>
          <w:b w:val="0"/>
        </w:rPr>
        <w:t xml:space="preserve">• </w:t>
      </w:r>
      <w:r>
        <w:t>Use categorias estáveis para evitar inventários inconsistentes por área.</w:t>
      </w:r>
    </w:p>
    <w:p>
      <w:pPr>
        <w:ind w:left="173"/>
      </w:pPr>
      <w:r>
        <w:rPr>
          <w:b w:val="0"/>
        </w:rPr>
        <w:t xml:space="preserve">• </w:t>
      </w:r>
      <w:r>
        <w:t>Adicione categorias específicas do contexto quando necessário.</w:t>
      </w:r>
    </w:p>
    <w:p>
      <w:pPr>
        <w:ind w:left="173"/>
      </w:pPr>
      <w:r>
        <w:rPr>
          <w:b w:val="0"/>
        </w:rPr>
        <w:t xml:space="preserve">• </w:t>
      </w:r>
      <w:r>
        <w:t>Evite criar categorias tão amplas que escondam dados sensíveis.</w:t>
      </w:r>
    </w:p>
    <w:sectPr w:rsidR="00FC693F" w:rsidRPr="0006063C" w:rsidSect="00034616">
      <w:footerReference w:type="default" r:id="rId9"/>
      <w:pgSz w:w="12240" w:h="15840"/>
      <w:pgMar w:top="792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B82"/>
        <w:sz w:val="16"/>
      </w:rPr>
      <w:t>Material de apoio — Questão 17 | Dicionário de dados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color w:val="172033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8223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43B6B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8223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