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EXEMPLO FICTÍCIO DE INVENTÁRIO DE DADOS</w:t>
      </w:r>
    </w:p>
    <w:p>
      <w:pPr>
        <w:jc w:val="center"/>
      </w:pPr>
      <w:r>
        <w:rPr>
          <w:i/>
          <w:color w:val="5C6B82"/>
          <w:sz w:val="22"/>
        </w:rPr>
        <w:t>Exemplo preenchido — Questão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17 — </w:t>
      </w:r>
      <w:r>
        <w:t>Os tipos de dados pessoais e dados pessoais sensíveis tratados pela organização estão identificados?</w:t>
      </w:r>
    </w:p>
    <w:p>
      <w:r>
        <w:rPr>
          <w:b/>
        </w:rPr>
        <w:t xml:space="preserve">Evidência esperada no instrumento: </w:t>
      </w:r>
      <w:r>
        <w:t>inventário de dados, registro de operações, mapa de dados</w:t>
      </w:r>
    </w:p>
    <w:p>
      <w:r>
        <w:rPr>
          <w:b/>
        </w:rPr>
        <w:t xml:space="preserve">Base principal: </w:t>
      </w:r>
      <w:r>
        <w:t>NIST CSF 2.0 — ID.AM-07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Processo</w:t>
            </w:r>
          </w:p>
        </w:tc>
        <w:tc>
          <w:tcPr>
            <w:tcW w:type="dxa" w:w="201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Titular</w:t>
            </w:r>
          </w:p>
        </w:tc>
        <w:tc>
          <w:tcPr>
            <w:tcW w:type="dxa" w:w="201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Categorias de dados</w:t>
            </w:r>
          </w:p>
        </w:tc>
        <w:tc>
          <w:tcPr>
            <w:tcW w:type="dxa" w:w="201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Sensíveis</w:t>
            </w:r>
          </w:p>
        </w:tc>
        <w:tc>
          <w:tcPr>
            <w:tcW w:type="dxa" w:w="201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Sistemas</w:t>
            </w:r>
          </w:p>
        </w:tc>
        <w:tc>
          <w:tcPr>
            <w:tcW w:type="dxa" w:w="201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Compartilhamento</w:t>
            </w:r>
          </w:p>
        </w:tc>
        <w:tc>
          <w:tcPr>
            <w:tcW w:type="dxa" w:w="201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Responsável</w:t>
            </w:r>
          </w:p>
        </w:tc>
      </w:tr>
      <w:tr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Cadastro do paciente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Paciente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Identificação, contato, convênio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Dados de saúde declarados em preparo, quando aplicável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RIS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Convênio e áreas internas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Atendimento</w:t>
            </w:r>
          </w:p>
        </w:tc>
      </w:tr>
      <w:tr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Execução do exame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Paciente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Identificação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Imagens e dados de saúde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Modalidade/PACS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Radiologistas e sistemas assistenciais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Área médica/TI</w:t>
            </w:r>
          </w:p>
        </w:tc>
      </w:tr>
      <w:tr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Entrega de resultado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Paciente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Identificação e contato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Laudo e imagens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Portal/PACS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Paciente/profissional autorizado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Atendimento/TI</w:t>
            </w:r>
          </w:p>
        </w:tc>
      </w:tr>
      <w:tr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Admissão de colaborador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Colaborador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Identificação, contato, dados funcionais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Dados de saúde ocupacional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RH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Contabilidade/medicina ocupacional</w:t>
            </w:r>
          </w:p>
        </w:tc>
        <w:tc>
          <w:tcPr>
            <w:tcW w:type="dxa" w:w="20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RH</w:t>
            </w:r>
          </w:p>
        </w:tc>
      </w:tr>
    </w:tbl>
    <w:p/>
    <w:p>
      <w:pPr>
        <w:pStyle w:val="Heading2"/>
      </w:pPr>
      <w:r>
        <w:t>Finalidade do exemplo</w:t>
      </w:r>
    </w:p>
    <w:p>
      <w:pPr>
        <w:ind w:left="173"/>
      </w:pPr>
      <w:r>
        <w:rPr>
          <w:b w:val="0"/>
        </w:rPr>
        <w:t xml:space="preserve">• </w:t>
      </w:r>
      <w:r>
        <w:t>Mostrar que o inventário registra categorias e locais, não dados pessoais reais.</w:t>
      </w:r>
    </w:p>
    <w:p>
      <w:pPr>
        <w:ind w:left="173"/>
      </w:pPr>
      <w:r>
        <w:rPr>
          <w:b w:val="0"/>
        </w:rPr>
        <w:t xml:space="preserve">• </w:t>
      </w:r>
      <w:r>
        <w:t>Evidenciar que processos não assistenciais também tratam dados pessoais.</w:t>
      </w:r>
    </w:p>
    <w:p>
      <w:r>
        <w:rPr>
          <w:b/>
        </w:rPr>
        <w:t>Nota explicativa do exemplo</w:t>
      </w:r>
    </w:p>
    <w:p>
      <w:r>
        <w:rPr>
          <w:sz w:val="17"/>
        </w:rPr>
        <w:t>O exemplo não define automaticamente finalidade ou base legal; ele serve para identificar quais categorias de dados são tratadas. O mapeamento dos fluxos é tratado na Q18, as finalidades e bases legais na Q36 e o registro consolidado das operações de tratamento na Q46.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17 | Exemplo de inventário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