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REGISTRO DE MUDANÇAS DE TOPOLOGIA</w:t>
      </w:r>
    </w:p>
    <w:p>
      <w:pPr>
        <w:jc w:val="center"/>
      </w:pPr>
      <w:r>
        <w:rPr>
          <w:i/>
          <w:color w:val="5C6B82"/>
          <w:sz w:val="22"/>
        </w:rPr>
        <w:t>Histórico de alterações de rede — Questão 20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/>
    <w:p>
      <w:r>
        <w:rPr>
          <w:b/>
          <w:color w:val="243B6B"/>
        </w:rPr>
        <w:t xml:space="preserve">Questão 20 — </w:t>
      </w:r>
      <w:r>
        <w:t>Existe diagrama ou documentação atualizada da rede e das principais conexões entre sistemas e unidades?</w:t>
      </w:r>
    </w:p>
    <w:p>
      <w:r>
        <w:rPr>
          <w:b/>
        </w:rPr>
        <w:t xml:space="preserve">Evidência esperada no instrumento: </w:t>
      </w:r>
      <w:r>
        <w:t>diagrama lógico/físico, documentação de VLANs, links e integrações</w:t>
      </w:r>
    </w:p>
    <w:p>
      <w:r>
        <w:rPr>
          <w:b/>
        </w:rPr>
        <w:t xml:space="preserve">Base principal: </w:t>
      </w:r>
      <w:r>
        <w:t>NIST CSF 2.0 — ID.AM-03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VLAN: rede local virtual; segmentação lógica da rede.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PACS: Sistema de Arquivamento e Comunicação de Imagens médicas.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Rollback: retorno controlado à configuração/versão anterior.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</w:tblGrid>
      <w:tr>
        <w:trPr>
          <w:tblHeader w:val="true"/>
        </w:trPr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Data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Mudança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Motivo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Origem/destino afetados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Risco avaliado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Janela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Responsável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Validação pós-mudança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Diagrama atualizado?</w:t>
            </w:r>
          </w:p>
        </w:tc>
        <w:tc>
          <w:tcPr>
            <w:tcW w:type="dxa" w:w="1411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Rollback/observação</w:t>
            </w:r>
          </w:p>
        </w:tc>
      </w:tr>
      <w:tr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dd/mm/aaaa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Nova VLAN para equipamento conectado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Segmentação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VLAN 30 / firewall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Regras e comunicação com PACS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20:00–21:00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TI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Ping/serviço/teste funcional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Sim</w:t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</w:tr>
      <w:tr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</w:tr>
    </w:tbl>
    <w:p/>
    <w:p>
      <w:pPr>
        <w:pStyle w:val="Heading2"/>
      </w:pPr>
      <w:r>
        <w:t>Uso</w:t>
      </w:r>
    </w:p>
    <w:p>
      <w:pPr>
        <w:ind w:left="173"/>
      </w:pPr>
      <w:r>
        <w:rPr>
          <w:b w:val="0"/>
        </w:rPr>
        <w:t xml:space="preserve">• </w:t>
      </w:r>
      <w:r>
        <w:t>Atualize a documentação de rede após a mudança, não apenas o registro.</w:t>
      </w:r>
    </w:p>
    <w:p>
      <w:pPr>
        <w:ind w:left="173"/>
      </w:pPr>
      <w:r>
        <w:rPr>
          <w:b w:val="0"/>
        </w:rPr>
        <w:t xml:space="preserve">• </w:t>
      </w:r>
      <w:r>
        <w:t>Em mudanças relevantes, relacione o ticket/solicitação de mudança e evidências de teste.</w:t>
      </w:r>
    </w:p>
    <w:sectPr w:rsidR="00FC693F" w:rsidRPr="0006063C" w:rsidSect="00034616">
      <w:footerReference w:type="default" r:id="rId9"/>
      <w:pgSz w:w="15840" w:h="12240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20 | Registro de mudanças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