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DESCARTE SEGURO E SANITIZAÇÃO</w:t>
      </w:r>
    </w:p>
    <w:p>
      <w:pPr>
        <w:jc w:val="center"/>
      </w:pPr>
      <w:r>
        <w:rPr>
          <w:i/>
          <w:color w:val="5C6B82"/>
          <w:sz w:val="22"/>
        </w:rPr>
        <w:t>Evitar recuperação indevida de dados — Questão 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22 — </w:t>
      </w:r>
      <w:r>
        <w:t>Existe procedimento para aquisição, instalação ou alteração, transferência, substituição e descarte seguro de ativos tecnológicos, com autorização e registro das mudanças relevantes?</w:t>
      </w:r>
    </w:p>
    <w:p>
      <w:r>
        <w:rPr>
          <w:b/>
        </w:rPr>
        <w:t xml:space="preserve">Evidência esperada no instrumento: </w:t>
      </w:r>
      <w:r>
        <w:t>procedimento de ciclo de vida, termos de entrega/devolução, descarte sanitizado</w:t>
      </w:r>
    </w:p>
    <w:p>
      <w:r>
        <w:rPr>
          <w:b/>
        </w:rPr>
        <w:t xml:space="preserve">Base principal: </w:t>
      </w:r>
      <w:r>
        <w:t>NIST CSF 2.0 — ID.AM-08, ID.RA-07</w:t>
      </w:r>
    </w:p>
    <w:p/>
    <w:p>
      <w:pPr>
        <w:pStyle w:val="Heading1"/>
      </w:pPr>
      <w:r>
        <w:t>Antes do descarte/devolução</w:t>
      </w:r>
    </w:p>
    <w:p>
      <w:pPr>
        <w:ind w:left="173"/>
      </w:pPr>
      <w:r>
        <w:rPr>
          <w:b/>
        </w:rPr>
        <w:t xml:space="preserve">☐ </w:t>
      </w:r>
      <w:r>
        <w:t>Confirmar que o ativo está autorizado para baixa.</w:t>
      </w:r>
    </w:p>
    <w:p>
      <w:pPr>
        <w:ind w:left="173"/>
      </w:pPr>
      <w:r>
        <w:rPr>
          <w:b/>
        </w:rPr>
        <w:t xml:space="preserve">☐ </w:t>
      </w:r>
      <w:r>
        <w:t>Identificar mídias de armazenamento existentes.</w:t>
      </w:r>
    </w:p>
    <w:p>
      <w:pPr>
        <w:ind w:left="173"/>
      </w:pPr>
      <w:r>
        <w:rPr>
          <w:b/>
        </w:rPr>
        <w:t xml:space="preserve">☐ </w:t>
      </w:r>
      <w:r>
        <w:t>Verificar necessidade de retenção/migração de dados.</w:t>
      </w:r>
    </w:p>
    <w:p>
      <w:pPr>
        <w:ind w:left="173"/>
      </w:pPr>
      <w:r>
        <w:rPr>
          <w:b/>
        </w:rPr>
        <w:t xml:space="preserve">☐ </w:t>
      </w:r>
      <w:r>
        <w:t>Remover contas, certificados, VPNs, tokens e integrações associados.</w:t>
      </w:r>
    </w:p>
    <w:p>
      <w:pPr>
        <w:ind w:left="173"/>
      </w:pPr>
      <w:r>
        <w:rPr>
          <w:b/>
        </w:rPr>
        <w:t xml:space="preserve">☐ </w:t>
      </w:r>
      <w:r>
        <w:t>Remover o ativo de consoles de gestão/EDR/MDM, quando aplicável.</w:t>
      </w:r>
    </w:p>
    <w:p>
      <w:pPr>
        <w:pStyle w:val="Heading1"/>
      </w:pPr>
      <w:r>
        <w:t>Sanitização</w:t>
      </w:r>
    </w:p>
    <w:p>
      <w:pPr>
        <w:ind w:left="173"/>
      </w:pPr>
      <w:r>
        <w:rPr>
          <w:b/>
        </w:rPr>
        <w:t xml:space="preserve">☐ </w:t>
      </w:r>
      <w:r>
        <w:t>Aplicar método compatível com o tipo de mídia e risco.</w:t>
      </w:r>
    </w:p>
    <w:p>
      <w:pPr>
        <w:ind w:left="173"/>
      </w:pPr>
      <w:r>
        <w:rPr>
          <w:b/>
        </w:rPr>
        <w:t xml:space="preserve">☐ </w:t>
      </w:r>
      <w:r>
        <w:t>Para equipamentos sob suporte/fabricante, seguir procedimento autorizado.</w:t>
      </w:r>
    </w:p>
    <w:p>
      <w:pPr>
        <w:ind w:left="173"/>
      </w:pPr>
      <w:r>
        <w:rPr>
          <w:b/>
        </w:rPr>
        <w:t xml:space="preserve">☐ </w:t>
      </w:r>
      <w:r>
        <w:t>Quando a sanitização lógica não for suficiente, utilizar destruição física por empresa/processo apropriado.</w:t>
      </w:r>
    </w:p>
    <w:p>
      <w:pPr>
        <w:ind w:left="173"/>
      </w:pPr>
      <w:r>
        <w:rPr>
          <w:b/>
        </w:rPr>
        <w:t xml:space="preserve">☐ </w:t>
      </w:r>
      <w:r>
        <w:t>Registrar método, data, responsável e evidência.</w:t>
      </w:r>
    </w:p>
    <w:p>
      <w:pPr>
        <w:pStyle w:val="Heading1"/>
      </w:pPr>
      <w:r>
        <w:t>Fechamento</w:t>
      </w:r>
    </w:p>
    <w:p>
      <w:pPr>
        <w:ind w:left="173"/>
      </w:pPr>
      <w:r>
        <w:rPr>
          <w:b/>
        </w:rPr>
        <w:t xml:space="preserve">☐ </w:t>
      </w:r>
      <w:r>
        <w:t>Atualizar status no inventário.</w:t>
      </w:r>
    </w:p>
    <w:p>
      <w:pPr>
        <w:ind w:left="173"/>
      </w:pPr>
      <w:r>
        <w:rPr>
          <w:b/>
        </w:rPr>
        <w:t xml:space="preserve">☐ </w:t>
      </w:r>
      <w:r>
        <w:t>Registrar destino: reutilização, devolução, venda, reciclagem, descarte.</w:t>
      </w:r>
    </w:p>
    <w:p>
      <w:pPr>
        <w:ind w:left="173"/>
      </w:pPr>
      <w:r>
        <w:rPr>
          <w:b/>
        </w:rPr>
        <w:t xml:space="preserve">☐ </w:t>
      </w:r>
      <w:r>
        <w:t>Guardar certificado/termo quando houver.</w:t>
      </w:r>
    </w:p>
    <w:p>
      <w:pPr>
        <w:ind w:left="173"/>
      </w:pPr>
      <w:r>
        <w:rPr>
          <w:b/>
        </w:rPr>
        <w:t xml:space="preserve">☐ </w:t>
      </w:r>
      <w:r>
        <w:t>Confirmar remoção de etiquetas ou informações desnecessárias.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MDM: gerenciamento central de dispositivos móveis, como celulares e tablets.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Sanitização de mídia: processo para tornar dados irrecuperáveis antes de reutilização/descarte.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22 | Checklist de descarte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