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PROCEDIMENTO DE CICLO DE VIDA DE ATIVOS TECNOLÓGICOS</w:t>
      </w:r>
    </w:p>
    <w:p>
      <w:pPr>
        <w:jc w:val="center"/>
      </w:pPr>
      <w:r>
        <w:rPr>
          <w:i/>
          <w:color w:val="5C6B82"/>
          <w:sz w:val="22"/>
        </w:rPr>
        <w:t>Aquisição à destinação final — Questão 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22 — </w:t>
      </w:r>
      <w:r>
        <w:t>Existe procedimento para aquisição, instalação ou alteração, transferência, substituição e descarte seguro de ativos tecnológicos, com autorização e registro das mudanças relevantes?</w:t>
      </w:r>
    </w:p>
    <w:p>
      <w:r>
        <w:rPr>
          <w:b/>
        </w:rPr>
        <w:t xml:space="preserve">Evidência esperada no instrumento: </w:t>
      </w:r>
      <w:r>
        <w:t>procedimento de ciclo de vida, termos de entrega/devolução, descarte sanitizado</w:t>
      </w:r>
    </w:p>
    <w:p>
      <w:r>
        <w:rPr>
          <w:b/>
        </w:rPr>
        <w:t xml:space="preserve">Base principal: </w:t>
      </w:r>
      <w:r>
        <w:t>NIST CSF 2.0 — ID.AM-08, ID.RA-07</w:t>
      </w:r>
    </w:p>
    <w:p/>
    <w:p>
      <w:pPr>
        <w:pStyle w:val="Heading1"/>
      </w:pPr>
      <w:r>
        <w:t>Fluxo mínimo</w:t>
      </w:r>
    </w:p>
    <w:p>
      <w:pPr>
        <w:ind w:left="173"/>
      </w:pPr>
      <w:r>
        <w:rPr>
          <w:b w:val="0"/>
        </w:rPr>
        <w:t xml:space="preserve">• </w:t>
      </w:r>
      <w:r>
        <w:t>1. Solicitação/aquisição: justificar necessidade, compatibilidade, suporte e requisitos de segurança.</w:t>
      </w:r>
    </w:p>
    <w:p>
      <w:pPr>
        <w:ind w:left="173"/>
      </w:pPr>
      <w:r>
        <w:rPr>
          <w:b w:val="0"/>
        </w:rPr>
        <w:t xml:space="preserve">• </w:t>
      </w:r>
      <w:r>
        <w:t>2. Recebimento: registrar no inventário e validar integridade/configuração inicial.</w:t>
      </w:r>
    </w:p>
    <w:p>
      <w:pPr>
        <w:ind w:left="173"/>
      </w:pPr>
      <w:r>
        <w:rPr>
          <w:b w:val="0"/>
        </w:rPr>
        <w:t xml:space="preserve">• </w:t>
      </w:r>
      <w:r>
        <w:t>3. Instalação: aplicar configuração aprovada, atualizações e controles de acesso antes de produção.</w:t>
      </w:r>
    </w:p>
    <w:p>
      <w:pPr>
        <w:ind w:left="173"/>
      </w:pPr>
      <w:r>
        <w:rPr>
          <w:b w:val="0"/>
        </w:rPr>
        <w:t xml:space="preserve">• </w:t>
      </w:r>
      <w:r>
        <w:t>4. Uso/manutenção: registrar mudanças relevantes, suporte e movimentações.</w:t>
      </w:r>
    </w:p>
    <w:p>
      <w:pPr>
        <w:ind w:left="173"/>
      </w:pPr>
      <w:r>
        <w:rPr>
          <w:b w:val="0"/>
        </w:rPr>
        <w:t xml:space="preserve">• </w:t>
      </w:r>
      <w:r>
        <w:t>5. Transferência/substituição: atualizar responsável/localização e proteger dados existentes.</w:t>
      </w:r>
    </w:p>
    <w:p>
      <w:pPr>
        <w:ind w:left="173"/>
      </w:pPr>
      <w:r>
        <w:rPr>
          <w:b w:val="0"/>
        </w:rPr>
        <w:t xml:space="preserve">• </w:t>
      </w:r>
      <w:r>
        <w:t>6. Baixa/descarte: sanitizar dados, remover acessos/licenças e registrar destinação.</w:t>
      </w:r>
    </w:p>
    <w:p>
      <w:pPr>
        <w:pStyle w:val="Heading1"/>
      </w:pPr>
      <w:r>
        <w:t>Evidências recomendadas</w:t>
      </w:r>
    </w:p>
    <w:p>
      <w:pPr>
        <w:ind w:left="173"/>
      </w:pPr>
      <w:r>
        <w:rPr>
          <w:b w:val="0"/>
        </w:rPr>
        <w:t xml:space="preserve">• </w:t>
      </w:r>
      <w:r>
        <w:t>Solicitação/aprovação de aquisição.</w:t>
      </w:r>
    </w:p>
    <w:p>
      <w:pPr>
        <w:ind w:left="173"/>
      </w:pPr>
      <w:r>
        <w:rPr>
          <w:b w:val="0"/>
        </w:rPr>
        <w:t xml:space="preserve">• </w:t>
      </w:r>
      <w:r>
        <w:t>Registro no inventário.</w:t>
      </w:r>
    </w:p>
    <w:p>
      <w:pPr>
        <w:ind w:left="173"/>
      </w:pPr>
      <w:r>
        <w:rPr>
          <w:b w:val="0"/>
        </w:rPr>
        <w:t xml:space="preserve">• </w:t>
      </w:r>
      <w:r>
        <w:t>Checklist de implantação.</w:t>
      </w:r>
    </w:p>
    <w:p>
      <w:pPr>
        <w:ind w:left="173"/>
      </w:pPr>
      <w:r>
        <w:rPr>
          <w:b w:val="0"/>
        </w:rPr>
        <w:t xml:space="preserve">• </w:t>
      </w:r>
      <w:r>
        <w:t>Termo de entrega/transferência.</w:t>
      </w:r>
    </w:p>
    <w:p>
      <w:pPr>
        <w:ind w:left="173"/>
      </w:pPr>
      <w:r>
        <w:rPr>
          <w:b w:val="0"/>
        </w:rPr>
        <w:t xml:space="preserve">• </w:t>
      </w:r>
      <w:r>
        <w:t>Registro de mudança/substituição.</w:t>
      </w:r>
    </w:p>
    <w:p>
      <w:pPr>
        <w:ind w:left="173"/>
      </w:pPr>
      <w:r>
        <w:rPr>
          <w:b w:val="0"/>
        </w:rPr>
        <w:t xml:space="preserve">• </w:t>
      </w:r>
      <w:r>
        <w:t>Evidência de sanitização/descarte ou devolução ao fornecedor.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Sanitização de mídia: processo para tornar dados irrecuperáveis antes de reutilização/descarte.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22 | Procedimento de ciclo de vida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