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spacing w:after="40" w:before="0" w:line="240" w:lineRule="auto"/>
        <w:jc w:val="center"/>
      </w:pPr>
      <w:r>
        <w:t>TERMO DE ENTREGA, TRANSFERÊNCIA E DEVOLUÇÃO DE ATIVO</w:t>
      </w:r>
    </w:p>
    <w:p>
      <w:pPr>
        <w:spacing w:after="40" w:before="0" w:line="240" w:lineRule="auto"/>
        <w:jc w:val="center"/>
      </w:pPr>
      <w:r>
        <w:rPr>
          <w:i/>
          <w:color w:val="5C6B82"/>
          <w:sz w:val="18"/>
        </w:rPr>
        <w:t>Rastreabilidade de movimentação — Questão 22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>
      <w:pPr>
        <w:spacing w:after="40" w:before="0" w:line="240" w:lineRule="auto"/>
      </w:pPr>
      <w:r>
        <w:rPr>
          <w:b/>
          <w:color w:val="243B6B"/>
        </w:rPr>
        <w:t xml:space="preserve">Questão 22 — </w:t>
      </w:r>
      <w:r>
        <w:t>Existe procedimento para aquisição, instalação ou alteração, transferência, substituição e descarte seguro de ativos tecnológicos, com autorização e registro das mudanças relevantes?</w:t>
      </w:r>
    </w:p>
    <w:p>
      <w:pPr>
        <w:spacing w:after="40" w:before="0" w:line="240" w:lineRule="auto"/>
      </w:pPr>
      <w:r>
        <w:rPr>
          <w:b/>
        </w:rPr>
        <w:t xml:space="preserve">Evidência esperada no instrumento: </w:t>
      </w:r>
      <w:r>
        <w:t>procedimento de ciclo de vida, termos de entrega/devolução, descarte sanitizado</w:t>
      </w:r>
    </w:p>
    <w:p>
      <w:pPr>
        <w:spacing w:after="40" w:before="0" w:line="240" w:lineRule="auto"/>
      </w:pPr>
      <w:r>
        <w:rPr>
          <w:b/>
        </w:rPr>
        <w:t xml:space="preserve">Base principal: </w:t>
      </w:r>
      <w:r>
        <w:t>NIST CSF 2.0 — ID.AM-08, ID.RA-07</w:t>
      </w:r>
    </w:p>
    <w:p>
      <w:pPr>
        <w:pStyle w:val="Heading1"/>
        <w:spacing w:after="40" w:before="0" w:line="240" w:lineRule="auto"/>
      </w:pPr>
      <w:r>
        <w:t>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Campo</w:t>
            </w:r>
          </w:p>
        </w:tc>
        <w:tc>
          <w:tcPr>
            <w:tcW w:type="dxa" w:w="5256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Preenchimento</w:t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ID do ativo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Tipo/modelo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Serial/patrimônio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Hostname, quando aplicável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Origem/local atual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Destino/novo responsável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Motivo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Data</w:t>
            </w:r>
          </w:p>
        </w:tc>
        <w:tc>
          <w:tcPr>
            <w:tcW w:type="dxa" w:w="5256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p>
      <w:pPr>
        <w:pStyle w:val="Heading1"/>
        <w:spacing w:after="40" w:before="0" w:line="240" w:lineRule="auto"/>
      </w:pPr>
      <w:r>
        <w:t>Conferências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Estado físico conferido.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Inventário atualizado.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Dados locais avaliados e protegidos.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Acessos/perfis ajustados.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Acessórios e mídias conferidos.</w:t>
      </w:r>
    </w:p>
    <w:p>
      <w:pPr>
        <w:spacing w:after="40" w:before="0" w:line="240" w:lineRule="auto"/>
        <w:ind w:left="173"/>
      </w:pPr>
      <w:r>
        <w:rPr>
          <w:b/>
        </w:rPr>
        <w:t xml:space="preserve">☐ </w:t>
      </w:r>
      <w:r>
        <w:t>Responsável anterior e novo responsável registraram ciência.</w:t>
      </w:r>
    </w:p>
    <w:p>
      <w:pPr>
        <w:pStyle w:val="Heading1"/>
        <w:spacing w:after="40" w:before="0" w:line="240" w:lineRule="auto"/>
      </w:pPr>
      <w:r>
        <w:t>Assinaturas/ciência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62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Papel</w:t>
            </w:r>
          </w:p>
        </w:tc>
        <w:tc>
          <w:tcPr>
            <w:tcW w:type="dxa" w:w="262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Nome</w:t>
            </w:r>
          </w:p>
        </w:tc>
        <w:tc>
          <w:tcPr>
            <w:tcW w:type="dxa" w:w="262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Data</w:t>
            </w:r>
          </w:p>
        </w:tc>
        <w:tc>
          <w:tcPr>
            <w:tcW w:type="dxa" w:w="2628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7"/>
              </w:rPr>
              <w:t>Assinatura/registro</w:t>
            </w:r>
          </w:p>
        </w:tc>
      </w:tr>
      <w:tr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Responsável anterior</w:t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Novo responsável</w:t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  <w:tr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  <w:t>TI/controle patrimonial</w:t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  <w:tc>
          <w:tcPr>
            <w:tcW w:type="dxa" w:w="2628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7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05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22 | Termo de movimentação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