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spacing w:after="40" w:before="0" w:line="240" w:lineRule="auto"/>
        <w:jc w:val="center"/>
      </w:pPr>
      <w:r>
        <w:t>FORMULÁRIO DE ACEITAÇÃO FORMAL DE RISCO</w:t>
      </w:r>
    </w:p>
    <w:p>
      <w:pPr>
        <w:spacing w:after="40" w:before="0" w:line="240" w:lineRule="auto"/>
        <w:jc w:val="center"/>
      </w:pPr>
      <w:r>
        <w:rPr>
          <w:i/>
          <w:color w:val="5C6B82"/>
          <w:sz w:val="18"/>
        </w:rPr>
        <w:t>Decisão consciente e revisável — Questão 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>
      <w:pPr>
        <w:spacing w:after="40" w:before="0" w:line="240" w:lineRule="auto"/>
      </w:pPr>
      <w:r>
        <w:rPr>
          <w:b/>
          <w:color w:val="243B6B"/>
        </w:rPr>
        <w:t xml:space="preserve">Questão 23 — </w:t>
      </w:r>
      <w:r>
        <w:t>Os riscos identificados são registrados, priorizados e acompanhados até seu tratamento ou aceitação formal?</w:t>
      </w:r>
    </w:p>
    <w:p>
      <w:pPr>
        <w:spacing w:after="40" w:before="0" w:line="240" w:lineRule="auto"/>
      </w:pPr>
      <w:r>
        <w:rPr>
          <w:b/>
        </w:rPr>
        <w:t xml:space="preserve">Evidência esperada no instrumento: </w:t>
      </w:r>
      <w:r>
        <w:t>registro de riscos, plano de ação, responsáveis, prazos e aceite formal</w:t>
      </w:r>
    </w:p>
    <w:p>
      <w:pPr>
        <w:spacing w:after="40" w:before="0" w:line="240" w:lineRule="auto"/>
      </w:pPr>
      <w:r>
        <w:rPr>
          <w:b/>
        </w:rPr>
        <w:t xml:space="preserve">Base principal: </w:t>
      </w:r>
      <w:r>
        <w:t>NIST CSF 2.0 — ID.RA-06, GV.RM-04</w:t>
      </w:r>
    </w:p>
    <w:p>
      <w:pPr>
        <w:pStyle w:val="Heading1"/>
        <w:spacing w:after="40" w:before="0" w:line="240" w:lineRule="auto"/>
      </w:pPr>
      <w:r>
        <w:t>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ID do risco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Descrição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Ativo/processo afetado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Impacto esperado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Probabilidade/contexto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Risco residual atual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p>
      <w:pPr>
        <w:pStyle w:val="Heading1"/>
        <w:spacing w:after="40" w:before="0" w:line="240" w:lineRule="auto"/>
      </w:pPr>
      <w:r>
        <w:t>Justificativa do aceite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Limitação técnica ou de fornecedor.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Custo desproporcional ao risco no momento.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Prazo de projeto já definido para substituição.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Risco residual considerado tolerável pela gestão.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Outra justificativa: _______________________________________________.</w:t>
      </w:r>
    </w:p>
    <w:p>
      <w:pPr>
        <w:pStyle w:val="Heading1"/>
        <w:spacing w:after="40" w:before="0" w:line="240" w:lineRule="auto"/>
      </w:pPr>
      <w:r>
        <w:t>Condições do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Controles compensatórios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Prazo/validade do aceite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Gatilhos para revisão antecipada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Responsável pelo acompanhamento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Aprovador competente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p>
      <w:pPr>
        <w:pStyle w:val="Heading1"/>
        <w:spacing w:after="40" w:before="0" w:line="240" w:lineRule="auto"/>
      </w:pPr>
      <w:r>
        <w:t>Aprovação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Nome/função</w:t>
            </w:r>
          </w:p>
        </w:tc>
        <w:tc>
          <w:tcPr>
            <w:tcW w:type="dxa" w:w="262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Decisão</w:t>
            </w:r>
          </w:p>
        </w:tc>
        <w:tc>
          <w:tcPr>
            <w:tcW w:type="dxa" w:w="262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Data</w:t>
            </w:r>
          </w:p>
        </w:tc>
        <w:tc>
          <w:tcPr>
            <w:tcW w:type="dxa" w:w="262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Assinatura/registro</w:t>
            </w:r>
          </w:p>
        </w:tc>
      </w:tr>
      <w:tr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p>
      <w:pPr>
        <w:pStyle w:val="Heading2"/>
        <w:spacing w:after="40" w:before="0" w:line="240" w:lineRule="auto"/>
      </w:pPr>
      <w:r>
        <w:t>Importante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Aceitar risco não significa ignorá-lo. Defina validade, responsável e revisão.</w:t>
      </w:r>
    </w:p>
    <w:p>
      <w:pPr>
        <w:spacing w:after="40" w:before="0" w:line="240" w:lineRule="auto"/>
        <w:ind w:left="173"/>
      </w:pPr>
      <w:r>
        <w:rPr>
          <w:b w:val="0"/>
        </w:rPr>
        <w:t xml:space="preserve">• </w:t>
      </w:r>
      <w:r>
        <w:t>Riscos com impacto relevante devem ser aceitos pela autoridade adequada, não apenas pelo técnico que identificou o problema.</w:t>
      </w:r>
    </w:p>
    <w:sectPr w:rsidR="00FC693F" w:rsidRPr="0006063C" w:rsidSect="00034616">
      <w:footerReference w:type="default" r:id="rId9"/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23 | Aceitação de risco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