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spacing w:after="40" w:before="0" w:line="240" w:lineRule="auto"/>
        <w:jc w:val="center"/>
      </w:pPr>
      <w:r>
        <w:t>PLANO DE TRATAMENTO DE RISCO</w:t>
      </w:r>
    </w:p>
    <w:p>
      <w:pPr>
        <w:spacing w:after="40" w:before="0" w:line="240" w:lineRule="auto"/>
        <w:jc w:val="center"/>
      </w:pPr>
      <w:r>
        <w:rPr>
          <w:i/>
          <w:color w:val="5C6B82"/>
          <w:sz w:val="18"/>
        </w:rPr>
        <w:t>Ações, responsáveis e evidências — Questão 23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>
      <w:pPr>
        <w:spacing w:after="40" w:before="0" w:line="240" w:lineRule="auto"/>
      </w:pPr>
      <w:r>
        <w:rPr>
          <w:b/>
          <w:color w:val="243B6B"/>
        </w:rPr>
        <w:t xml:space="preserve">Questão 23 — </w:t>
      </w:r>
      <w:r>
        <w:t>Os riscos identificados são registrados, priorizados e acompanhados até seu tratamento ou aceitação formal?</w:t>
      </w:r>
    </w:p>
    <w:p>
      <w:pPr>
        <w:spacing w:after="40" w:before="0" w:line="240" w:lineRule="auto"/>
      </w:pPr>
      <w:r>
        <w:rPr>
          <w:b/>
        </w:rPr>
        <w:t xml:space="preserve">Evidência esperada no instrumento: </w:t>
      </w:r>
      <w:r>
        <w:t>registro de riscos, plano de ação, responsáveis, prazos e aceite formal</w:t>
      </w:r>
    </w:p>
    <w:p>
      <w:pPr>
        <w:spacing w:after="40" w:before="0" w:line="240" w:lineRule="auto"/>
      </w:pPr>
      <w:r>
        <w:rPr>
          <w:b/>
        </w:rPr>
        <w:t xml:space="preserve">Base principal: </w:t>
      </w:r>
      <w:r>
        <w:t>NIST CSF 2.0 — ID.RA-06, GV.RM-04</w:t>
      </w:r>
    </w:p>
    <w:p>
      <w:pPr>
        <w:pStyle w:val="Heading1"/>
        <w:spacing w:after="40" w:before="0" w:line="240" w:lineRule="auto"/>
      </w:pPr>
      <w:r>
        <w:t>Identificação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Preenchimento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ID do risco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Descrição resumida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Prioridade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Responsável pelo risco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Decisão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Mitigar / Transferir / Evitar / Aceitar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Prazo alvo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</w:tbl>
    <w:p>
      <w:pPr>
        <w:pStyle w:val="Heading1"/>
        <w:spacing w:after="40" w:before="0" w:line="240" w:lineRule="auto"/>
      </w:pPr>
      <w:r>
        <w:t>Plano de 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150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#</w:t>
            </w:r>
          </w:p>
        </w:tc>
        <w:tc>
          <w:tcPr>
            <w:tcW w:type="dxa" w:w="150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Ação</w:t>
            </w:r>
          </w:p>
        </w:tc>
        <w:tc>
          <w:tcPr>
            <w:tcW w:type="dxa" w:w="150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Responsável</w:t>
            </w:r>
          </w:p>
        </w:tc>
        <w:tc>
          <w:tcPr>
            <w:tcW w:type="dxa" w:w="150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Prazo</w:t>
            </w:r>
          </w:p>
        </w:tc>
        <w:tc>
          <w:tcPr>
            <w:tcW w:type="dxa" w:w="150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Dependência/custo</w:t>
            </w:r>
          </w:p>
        </w:tc>
        <w:tc>
          <w:tcPr>
            <w:tcW w:type="dxa" w:w="150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Evidência esperada</w:t>
            </w:r>
          </w:p>
        </w:tc>
        <w:tc>
          <w:tcPr>
            <w:tcW w:type="dxa" w:w="150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Status</w:t>
            </w:r>
          </w:p>
        </w:tc>
      </w:tr>
      <w:tr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1</w:t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2</w:t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3</w:t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15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</w:tbl>
    <w:p>
      <w:pPr>
        <w:pStyle w:val="Heading1"/>
        <w:spacing w:after="40" w:before="0" w:line="240" w:lineRule="auto"/>
      </w:pPr>
      <w:r>
        <w:t>Fechamento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Preenchimento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Resultado do tratamento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Risco residual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Data de validação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Evidências anexadas/referenciadas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Próxima revisão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23 | Plano de tratamento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