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PROCEDIMENTO DE CRIAÇÃO DE IDENTIDADE INDIVIDUAL</w:t>
      </w:r>
    </w:p>
    <w:p>
      <w:pPr>
        <w:jc w:val="center"/>
      </w:pPr>
      <w:r>
        <w:rPr>
          <w:i/>
          <w:color w:val="5C6B82"/>
          <w:sz w:val="21"/>
        </w:rPr>
        <w:t>Do vínculo à conta — Questão 24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24 — </w:t>
      </w:r>
      <w:r>
        <w:t>Os colaboradores e prestadores utilizam contas individuais e identificáveis para acessar sistemas e recursos tecnológicos?</w:t>
      </w:r>
    </w:p>
    <w:p>
      <w:r>
        <w:rPr>
          <w:b/>
        </w:rPr>
        <w:t xml:space="preserve">Evidência esperada: </w:t>
      </w:r>
      <w:r>
        <w:t>listas de usuários, diretório, relatórios de contas, política de identidade</w:t>
      </w:r>
    </w:p>
    <w:p>
      <w:r>
        <w:rPr>
          <w:b/>
        </w:rPr>
        <w:t xml:space="preserve">Base principal: </w:t>
      </w:r>
      <w:r>
        <w:t>NIST CSF 2.0 — PR.AA-01</w:t>
      </w:r>
    </w:p>
    <w:p/>
    <w:p>
      <w:pPr>
        <w:pStyle w:val="Heading1"/>
      </w:pPr>
      <w:r>
        <w:t>Objetivo</w:t>
      </w:r>
    </w:p>
    <w:p>
      <w:r>
        <w:t>Garantir que cada pessoa receba uma identidade própria e rastreável antes de acessar recursos tecnológicos.</w:t>
      </w:r>
    </w:p>
    <w:p>
      <w:pPr>
        <w:pStyle w:val="Heading1"/>
      </w:pPr>
      <w:r>
        <w:t>Fluxo recomendado</w:t>
      </w:r>
    </w:p>
    <w:p>
      <w:pPr>
        <w:ind w:left="173"/>
      </w:pPr>
      <w:r>
        <w:t>• 1. Receber solicitação/autorização com identificação da pessoa e vínculo.</w:t>
      </w:r>
    </w:p>
    <w:p>
      <w:pPr>
        <w:ind w:left="173"/>
      </w:pPr>
      <w:r>
        <w:t>• 2. Criar login individual conforme padrão de nomenclatura.</w:t>
      </w:r>
    </w:p>
    <w:p>
      <w:pPr>
        <w:ind w:left="173"/>
      </w:pPr>
      <w:r>
        <w:t>• 3. Associar grupos/perfis mínimos necessários.</w:t>
      </w:r>
    </w:p>
    <w:p>
      <w:pPr>
        <w:ind w:left="173"/>
      </w:pPr>
      <w:r>
        <w:t>• 4. Orientar o usuário sobre não compartilhamento de credenciais.</w:t>
      </w:r>
    </w:p>
    <w:p>
      <w:pPr>
        <w:ind w:left="173"/>
      </w:pPr>
      <w:r>
        <w:t>• 5. Registrar criação e responsável.</w:t>
      </w:r>
    </w:p>
    <w:p>
      <w:pPr>
        <w:ind w:left="173"/>
      </w:pPr>
      <w:r>
        <w:t>• 6. Revisar exceções em sistemas que não suportam contas individuais.</w:t>
      </w:r>
    </w:p>
    <w:p>
      <w:pPr>
        <w:pStyle w:val="Heading1"/>
      </w:pPr>
      <w:r>
        <w:t>Papéis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Papel</w:t>
            </w:r>
          </w:p>
        </w:tc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Responsabilidade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Gestor solicitante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Confirma necessidade e função.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TI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Cria a identidade, aplica perfil e registra.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RH/Administrativo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Informa vínculo quando aplicável.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Usuário/prestador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Mantém credencial pessoal e comunica incidentes.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24 | Procedimento de identidade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