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ROTEIRO DE CONFERÊNCIA: PESSOAS X CONTAS</w:t>
      </w:r>
    </w:p>
    <w:p>
      <w:pPr>
        <w:jc w:val="center"/>
      </w:pPr>
      <w:r>
        <w:rPr>
          <w:i/>
          <w:color w:val="5C6B82"/>
          <w:sz w:val="21"/>
        </w:rPr>
        <w:t>Detecção de contas sem dono ou compartilhadas — Questão 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24 — </w:t>
      </w:r>
      <w:r>
        <w:t>Os colaboradores e prestadores utilizam contas individuais e identificáveis para acessar sistemas e recursos tecnológicos?</w:t>
      </w:r>
    </w:p>
    <w:p>
      <w:r>
        <w:rPr>
          <w:b/>
        </w:rPr>
        <w:t xml:space="preserve">Evidência esperada: </w:t>
      </w:r>
      <w:r>
        <w:t>listas de usuários, diretório, relatórios de contas, política de identidade</w:t>
      </w:r>
    </w:p>
    <w:p>
      <w:r>
        <w:rPr>
          <w:b/>
        </w:rPr>
        <w:t xml:space="preserve">Base principal: </w:t>
      </w:r>
      <w:r>
        <w:t>NIST CSF 2.0 — PR.AA-01</w:t>
      </w:r>
    </w:p>
    <w:p/>
    <w:p>
      <w:pPr>
        <w:pStyle w:val="Heading1"/>
      </w:pPr>
      <w:r>
        <w:t>Fontes para comparar</w:t>
      </w:r>
    </w:p>
    <w:p>
      <w:pPr>
        <w:ind w:left="173"/>
      </w:pPr>
      <w:r>
        <w:t>• Lista atual de colaboradores/prestadores.</w:t>
      </w:r>
    </w:p>
    <w:p>
      <w:pPr>
        <w:ind w:left="173"/>
      </w:pPr>
      <w:r>
        <w:t>• Active Directory/diretório de identidade.</w:t>
      </w:r>
    </w:p>
    <w:p>
      <w:pPr>
        <w:ind w:left="173"/>
      </w:pPr>
      <w:r>
        <w:t>• Usuários de RIS/PACS e demais sistemas críticos.</w:t>
      </w:r>
    </w:p>
    <w:p>
      <w:pPr>
        <w:ind w:left="173"/>
      </w:pPr>
      <w:r>
        <w:t>• VPN, e-mail corporativo, ferramentas de suporte remoto.</w:t>
      </w:r>
    </w:p>
    <w:p>
      <w:pPr>
        <w:pStyle w:val="Heading1"/>
      </w:pPr>
      <w:r>
        <w:t>Sinais de problema</w:t>
      </w:r>
    </w:p>
    <w:p>
      <w:pPr>
        <w:ind w:left="173"/>
      </w:pPr>
      <w:r>
        <w:t>• Conta ativa sem pessoa/vínculo conhecido.</w:t>
      </w:r>
    </w:p>
    <w:p>
      <w:pPr>
        <w:ind w:left="173"/>
      </w:pPr>
      <w:r>
        <w:t>• Várias pessoas usando o mesmo login nominal.</w:t>
      </w:r>
    </w:p>
    <w:p>
      <w:pPr>
        <w:ind w:left="173"/>
      </w:pPr>
      <w:r>
        <w:t>• Pessoa desligada ainda com conta ativa.</w:t>
      </w:r>
    </w:p>
    <w:p>
      <w:pPr>
        <w:ind w:left="173"/>
      </w:pPr>
      <w:r>
        <w:t>• Usuário genérico usado como padrão de equipe.</w:t>
      </w:r>
    </w:p>
    <w:p>
      <w:pPr>
        <w:ind w:left="173"/>
      </w:pPr>
      <w:r>
        <w:t>• Conta criada sem responsável/aprovador identificável.</w:t>
      </w:r>
    </w:p>
    <w:p>
      <w:pPr>
        <w:pStyle w:val="Heading1"/>
      </w:pPr>
      <w:r>
        <w:t>Resultado esperado</w:t>
      </w:r>
    </w:p>
    <w:p>
      <w:pPr>
        <w:ind w:left="173"/>
      </w:pPr>
      <w:r>
        <w:t>• Lista de divergências com responsável e prazo de regularização.</w:t>
      </w:r>
    </w:p>
    <w:p>
      <w:pPr>
        <w:ind w:left="173"/>
      </w:pPr>
      <w:r>
        <w:t>• Exceções documentadas quando individualização não for tecnicamente possível.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24 | Roteiro de conferência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