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REGISTRO DE EXCEÇÕES DE CONTAS COMPARTILHADAS</w:t>
      </w:r>
    </w:p>
    <w:p>
      <w:pPr>
        <w:jc w:val="center"/>
      </w:pPr>
      <w:r>
        <w:rPr>
          <w:i/>
          <w:color w:val="5C6B82"/>
          <w:sz w:val="21"/>
        </w:rPr>
        <w:t>Justificativa, custódia e controle — Questão 25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12"/>
      </w:tblGrid>
      <w:tr>
        <w:tc>
          <w:tcPr>
            <w:tcW w:type="dxa" w:w="14112"/>
            <w:shd w:fill="EAF0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sz w:val="18"/>
              </w:rPr>
              <w:t>Adapte à realidade da clínica. Não registre senhas, tokens, segredos ou dados pessoais desnecessários. O preenchimento deste documento não determina automaticamente o nível 0–3 da questão.</w:t>
            </w:r>
          </w:p>
        </w:tc>
      </w:tr>
    </w:tbl>
    <w:p/>
    <w:p>
      <w:r>
        <w:rPr>
          <w:b/>
          <w:color w:val="243B6B"/>
        </w:rPr>
        <w:t xml:space="preserve">Questão 25 — </w:t>
      </w:r>
      <w:r>
        <w:t>As contas compartilhadas ou genéricas são evitadas ou, quando indispensáveis, possuem uso controlado e rastreável?</w:t>
      </w:r>
    </w:p>
    <w:p>
      <w:r>
        <w:rPr>
          <w:b/>
        </w:rPr>
        <w:t xml:space="preserve">Evidência esperada: </w:t>
      </w:r>
      <w:r>
        <w:t>inventário de contas genéricas, justificativas, logs e controles de custódia</w:t>
      </w:r>
    </w:p>
    <w:p>
      <w:r>
        <w:rPr>
          <w:b/>
        </w:rPr>
        <w:t xml:space="preserve">Base principal: </w:t>
      </w:r>
      <w:r>
        <w:t>NIST CSF 2.0 — PR.AA-01, PR.AA-05</w:t>
      </w:r>
    </w:p>
    <w:p/>
    <w:p>
      <w:pPr>
        <w:pStyle w:val="Heading1"/>
      </w:pPr>
      <w:r>
        <w:t>Registro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rPr>
          <w:tblHeader w:val="true"/>
        </w:trPr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Sistema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Motivo técnico/operacional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Usuários autorizados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Responsável/custodiante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Controle de rastreio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Validade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Próxima revisão</w:t>
            </w:r>
          </w:p>
        </w:tc>
        <w:tc>
          <w:tcPr>
            <w:tcW w:type="dxa" w:w="1568"/>
            <w:shd w:fill="E9EEF5"/>
            <w:vAlign w:val="center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r/>
            <w:r>
              <w:rPr>
                <w:b/>
                <w:color w:val="172033"/>
                <w:sz w:val="14"/>
              </w:rPr>
              <w:t>Plano de eliminação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recepcao01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Sistema legado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Não suporta contas nominativas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Equipe recepção turno 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Gestor recepção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Registro de escala + log do sistema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dd/mm/aaaa</w:t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  <w:t>Avaliar atualização</w:t>
            </w:r>
          </w:p>
        </w:tc>
      </w:tr>
      <w:tr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  <w:tc>
          <w:tcPr>
            <w:tcW w:type="dxa" w:w="15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r/>
            <w:r>
              <w:rPr>
                <w:b w:val="0"/>
                <w:color w:val="172033"/>
                <w:sz w:val="14"/>
              </w:rPr>
            </w:r>
          </w:p>
        </w:tc>
      </w:tr>
    </w:tbl>
    <w:p/>
    <w:p>
      <w:pPr>
        <w:pStyle w:val="Heading1"/>
      </w:pPr>
      <w:r>
        <w:t>Orientações de preenchimento</w:t>
      </w:r>
    </w:p>
    <w:p>
      <w:pPr>
        <w:ind w:left="173"/>
      </w:pPr>
      <w:r>
        <w:t>• Conta compartilhada deve ser exceção, não conveniência.</w:t>
      </w:r>
    </w:p>
    <w:p>
      <w:pPr>
        <w:ind w:left="173"/>
      </w:pPr>
      <w:r>
        <w:t>• Defina prazo de revisão e possibilidade de substituição por contas nominativas.</w:t>
      </w:r>
    </w:p>
    <w:sectPr w:rsidR="00FC693F" w:rsidRPr="0006063C" w:rsidSect="00034616">
      <w:footerReference w:type="default" r:id="rId9"/>
      <w:pgSz w:w="15840" w:h="12240" w:orient="landscape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25 | Registro de exceções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