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APROVADORES POR SISTEMA</w:t>
      </w:r>
    </w:p>
    <w:p>
      <w:pPr>
        <w:jc w:val="center"/>
      </w:pPr>
      <w:r>
        <w:rPr>
          <w:i/>
          <w:color w:val="5C6B82"/>
          <w:sz w:val="21"/>
        </w:rPr>
        <w:t>Quem pode autorizar o quê — Questão 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27 — </w:t>
      </w:r>
      <w:r>
        <w:t>A criação e a alteração de contas e permissões dependem de solicitação e autorização definidas?</w:t>
      </w:r>
    </w:p>
    <w:p>
      <w:r>
        <w:rPr>
          <w:b/>
        </w:rPr>
        <w:t xml:space="preserve">Evidência esperada: </w:t>
      </w:r>
      <w:r>
        <w:t>chamados, formulários, aprovações, workflow ou registros de alteração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Sistema/recurso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Tipo de acesso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 primário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 substituto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TI executor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Condição especial</w:t>
            </w:r>
          </w:p>
        </w:tc>
        <w:tc>
          <w:tcPr>
            <w:tcW w:type="dxa" w:w="201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Perfil recepção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atendimento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Coordenação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Perfil médico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Direção médica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Coordenação médica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Validar vínculo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VPN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Acesso remoto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da área + TI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Direção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MFA obrigatório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27 | Matriz de aprovadores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