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IMPLANTAÇÃO DE MFA</w:t>
      </w:r>
    </w:p>
    <w:p>
      <w:pPr>
        <w:jc w:val="center"/>
      </w:pPr>
      <w:r>
        <w:rPr>
          <w:i/>
          <w:color w:val="5C6B82"/>
          <w:sz w:val="21"/>
        </w:rPr>
        <w:t>Acessos remotos, administrativos e críticos — Questão 31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31 — </w:t>
      </w:r>
      <w:r>
        <w:t>A autenticação multifator é utilizada em acessos remotos, contas administrativas e sistemas críticos, quando tecnicamente possível?</w:t>
      </w:r>
    </w:p>
    <w:p>
      <w:r>
        <w:rPr>
          <w:b/>
        </w:rPr>
        <w:t xml:space="preserve">Evidência esperada: </w:t>
      </w:r>
      <w:r>
        <w:t>configuração de MFA, relatórios de cobertura, política e exceções documentadas</w:t>
      </w:r>
    </w:p>
    <w:p>
      <w:r>
        <w:rPr>
          <w:b/>
        </w:rPr>
        <w:t xml:space="preserve">Base principal: </w:t>
      </w:r>
      <w:r>
        <w:t>NIST CSF 2.0 — PR.AA-03</w:t>
      </w:r>
    </w:p>
    <w:p/>
    <w:p>
      <w:pPr>
        <w:pStyle w:val="Heading1"/>
      </w:pPr>
      <w:r>
        <w:t>Prioridade</w:t>
      </w:r>
    </w:p>
    <w:p>
      <w:pPr>
        <w:ind w:left="173"/>
      </w:pPr>
      <w:r>
        <w:t>☐ VPN e acesso remoto.</w:t>
      </w:r>
    </w:p>
    <w:p>
      <w:pPr>
        <w:ind w:left="173"/>
      </w:pPr>
      <w:r>
        <w:t>☐ E-mail/nuvem.</w:t>
      </w:r>
    </w:p>
    <w:p>
      <w:pPr>
        <w:ind w:left="173"/>
      </w:pPr>
      <w:r>
        <w:t>☐ Contas administrativas.</w:t>
      </w:r>
    </w:p>
    <w:p>
      <w:pPr>
        <w:ind w:left="173"/>
      </w:pPr>
      <w:r>
        <w:t>☐ Portais e consoles de fornecedores.</w:t>
      </w:r>
    </w:p>
    <w:p>
      <w:pPr>
        <w:ind w:left="173"/>
      </w:pPr>
      <w:r>
        <w:t>☐ Sistemas críticos que suportem MFA.</w:t>
      </w:r>
    </w:p>
    <w:p>
      <w:pPr>
        <w:pStyle w:val="Heading1"/>
      </w:pPr>
      <w:r>
        <w:t>Implantação</w:t>
      </w:r>
    </w:p>
    <w:p>
      <w:pPr>
        <w:ind w:left="173"/>
      </w:pPr>
      <w:r>
        <w:t>☐ Definir método aprovado.</w:t>
      </w:r>
    </w:p>
    <w:p>
      <w:pPr>
        <w:ind w:left="173"/>
      </w:pPr>
      <w:r>
        <w:t>☐ Cadastrar fatores e testar recuperação.</w:t>
      </w:r>
    </w:p>
    <w:p>
      <w:pPr>
        <w:ind w:left="173"/>
      </w:pPr>
      <w:r>
        <w:t>☐ Evitar método fraco quando alternativa melhor estiver disponível.</w:t>
      </w:r>
    </w:p>
    <w:p>
      <w:pPr>
        <w:ind w:left="173"/>
      </w:pPr>
      <w:r>
        <w:t>☐ Orientar usuários sobre aprovação indevida de push.</w:t>
      </w:r>
    </w:p>
    <w:p>
      <w:pPr>
        <w:ind w:left="173"/>
      </w:pPr>
      <w:r>
        <w:t>☐ Definir processo para troca/perda do dispositivo.</w:t>
      </w:r>
    </w:p>
    <w:p>
      <w:pPr>
        <w:pStyle w:val="Heading1"/>
      </w:pPr>
      <w:r>
        <w:t>Governança</w:t>
      </w:r>
    </w:p>
    <w:p>
      <w:pPr>
        <w:ind w:left="173"/>
      </w:pPr>
      <w:r>
        <w:t>☐ Registrar exceções técnicas.</w:t>
      </w:r>
    </w:p>
    <w:p>
      <w:pPr>
        <w:ind w:left="173"/>
      </w:pPr>
      <w:r>
        <w:t>☐ Aplicar controles compensatórios.</w:t>
      </w:r>
    </w:p>
    <w:p>
      <w:pPr>
        <w:ind w:left="173"/>
      </w:pPr>
      <w:r>
        <w:t>☐ Revisar cobertura periodicamente.</w:t>
      </w:r>
    </w:p>
    <w:p>
      <w:pPr>
        <w:ind w:left="173"/>
      </w:pPr>
      <w:r>
        <w:t>☐ Revogar fatores de usuários desligados.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31 | Checklist MFA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