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MATRIZ DE COBERTURA DE MFA</w:t>
      </w:r>
    </w:p>
    <w:p>
      <w:pPr>
        <w:jc w:val="center"/>
      </w:pPr>
      <w:r>
        <w:rPr>
          <w:i/>
          <w:color w:val="5C6B82"/>
          <w:sz w:val="21"/>
        </w:rPr>
        <w:t>Priorização por risco — Questão 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31 — </w:t>
      </w:r>
      <w:r>
        <w:t>A autenticação multifator é utilizada em acessos remotos, contas administrativas e sistemas críticos, quando tecnicamente possível?</w:t>
      </w:r>
    </w:p>
    <w:p>
      <w:r>
        <w:rPr>
          <w:b/>
        </w:rPr>
        <w:t xml:space="preserve">Evidência esperada: </w:t>
      </w:r>
      <w:r>
        <w:t>configuração de MFA, relatórios de cobertura, política e exceções documentadas</w:t>
      </w:r>
    </w:p>
    <w:p>
      <w:r>
        <w:rPr>
          <w:b/>
        </w:rPr>
        <w:t xml:space="preserve">Base principal: </w:t>
      </w:r>
      <w:r>
        <w:t>NIST CSF 2.0 — PR.AA-03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PACS: Sistema de Arquivamento e Comunicação de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Sistema/acesso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Tipo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Usuários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MFA suportado?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MFA ativo?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Método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Cobertura estimada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Exceções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Plano/prazo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</w:tr>
      <w:tr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VPN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Remoto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TI/terceiros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App autenticador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100%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</w:tr>
      <w:tr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Microsoft 365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Nuvem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Todos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Parcial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App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80%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Contas legadas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Completar dd/mm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</w:tr>
      <w:tr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 legado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Crítico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Médicos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Não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Não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0%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Limitação técnica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Controle compensatório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TI/Fornecedor</w:t>
            </w:r>
          </w:p>
        </w:tc>
      </w:tr>
      <w:tr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31 | Matriz MFA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