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PROCEDIMENTO DE RESET E CREDENCIAL COMPROMETIDA</w:t>
      </w:r>
    </w:p>
    <w:p>
      <w:pPr>
        <w:jc w:val="center"/>
      </w:pPr>
      <w:r>
        <w:rPr>
          <w:i/>
          <w:color w:val="5C6B82"/>
          <w:sz w:val="21"/>
        </w:rPr>
        <w:t>Recuperação segura — Questão 32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sz w:val="18"/>
              </w:rPr>
              <w:t>Adapte à realidade da clínica. Não registre senhas, tokens, segredos ou dados pessoais desnecessários. O preenchimento deste documento não determina automaticamente o nível 0–3 da questão.</w:t>
            </w:r>
          </w:p>
        </w:tc>
      </w:tr>
    </w:tbl>
    <w:p/>
    <w:p>
      <w:r>
        <w:rPr>
          <w:b/>
          <w:color w:val="243B6B"/>
        </w:rPr>
        <w:t xml:space="preserve">Questão 32 — </w:t>
      </w:r>
      <w:r>
        <w:t>Existem requisitos de autenticação por senha ou frase-senha que tratem de comprimento, proteção, reutilização e proibição de compartilhamento, prevendo alteração quando houver suspeita de comprometimento ou necessidade definida?</w:t>
      </w:r>
    </w:p>
    <w:p>
      <w:r>
        <w:rPr>
          <w:b/>
        </w:rPr>
        <w:t xml:space="preserve">Evidência esperada: </w:t>
      </w:r>
      <w:r>
        <w:t>política de senha/credenciais, GPO/configurações, processo de reset e gestão de padrão</w:t>
      </w:r>
    </w:p>
    <w:p>
      <w:r>
        <w:rPr>
          <w:b/>
        </w:rPr>
        <w:t xml:space="preserve">Base principal: </w:t>
      </w:r>
      <w:r>
        <w:t>NIST CSF 2.0 — PR.AA-01, PR.AA-03</w:t>
      </w:r>
    </w:p>
    <w:p/>
    <w:p>
      <w:pPr>
        <w:pStyle w:val="Heading1"/>
      </w:pPr>
      <w:r>
        <w:t>Objetivo</w:t>
      </w:r>
    </w:p>
    <w:p>
      <w:r>
        <w:t>Padronizar redefinição de credenciais sem permitir que o próprio processo de suporte vire vetor de fraude.</w:t>
      </w:r>
    </w:p>
    <w:p>
      <w:pPr>
        <w:pStyle w:val="Heading1"/>
      </w:pPr>
      <w:r>
        <w:t>Fluxo recomendado</w:t>
      </w:r>
    </w:p>
    <w:p>
      <w:pPr>
        <w:ind w:left="173"/>
      </w:pPr>
      <w:r>
        <w:t>• 1. Receber solicitação pelo canal definido.</w:t>
      </w:r>
    </w:p>
    <w:p>
      <w:pPr>
        <w:ind w:left="173"/>
      </w:pPr>
      <w:r>
        <w:t>• 2. Validar identidade do usuário por mecanismo apropriado.</w:t>
      </w:r>
    </w:p>
    <w:p>
      <w:pPr>
        <w:ind w:left="173"/>
      </w:pPr>
      <w:r>
        <w:t>• 3. Redefinir credencial temporária/segura sem divulgar senha permanente.</w:t>
      </w:r>
    </w:p>
    <w:p>
      <w:pPr>
        <w:ind w:left="173"/>
      </w:pPr>
      <w:r>
        <w:t>• 4. Exigir troca ou cadastro conforme a plataforma.</w:t>
      </w:r>
    </w:p>
    <w:p>
      <w:pPr>
        <w:ind w:left="173"/>
      </w:pPr>
      <w:r>
        <w:t>• 5. Quando houver comprometimento, revogar sessões/tokens e avaliar outros acessos.</w:t>
      </w:r>
    </w:p>
    <w:p>
      <w:pPr>
        <w:ind w:left="173"/>
      </w:pPr>
      <w:r>
        <w:t>• 6. Registrar atendimento e motivo.</w:t>
      </w:r>
    </w:p>
    <w:p>
      <w:pPr>
        <w:ind w:left="173"/>
      </w:pPr>
      <w:r>
        <w:t>• 7. Escalar indícios de phishing ou fraude.</w:t>
      </w:r>
    </w:p>
    <w:p>
      <w:pPr>
        <w:pStyle w:val="Heading1"/>
      </w:pPr>
      <w:r>
        <w:t>Papéis sugeridos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GPO: Objeto de Política de Grupo; aplica configurações centralizadas em ambientes Windows/AD.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6"/>
              </w:rPr>
              <w:t>Papel</w:t>
            </w:r>
          </w:p>
        </w:tc>
        <w:tc>
          <w:tcPr>
            <w:tcW w:type="dxa" w:w="5256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6"/>
              </w:rPr>
              <w:t>Responsabilidade</w:t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Usuário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Solicita e comunica suspeitas.</w:t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Suporte/TI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Valida, redefine e registra.</w:t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Segurança/gestão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Apoia investigação quando houver comprometimento.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32 | Procedimento de reset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