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C6B82"/>
          <w:sz w:val="17"/>
        </w:rPr>
        <w:t>INSTRUMENTO DE AUTOAVALIAÇÃO DE CONTROLES DE SEGURANÇA CIBERNÉTICA</w:t>
      </w:r>
    </w:p>
    <w:p>
      <w:pPr>
        <w:pStyle w:val="Title"/>
        <w:jc w:val="center"/>
      </w:pPr>
      <w:r>
        <w:t>BASELINE DE BLOQUEIO, TENTATIVAS E SESSÃO</w:t>
      </w:r>
    </w:p>
    <w:p>
      <w:pPr>
        <w:jc w:val="center"/>
      </w:pPr>
      <w:r>
        <w:rPr>
          <w:i/>
          <w:color w:val="5C6B82"/>
          <w:sz w:val="21"/>
        </w:rPr>
        <w:t>Parâmetros mínimos por sistema — Questão 33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112"/>
      </w:tblGrid>
      <w:tr>
        <w:tc>
          <w:tcPr>
            <w:tcW w:type="dxa" w:w="14112"/>
            <w:shd w:fill="EAF0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243B6B"/>
              </w:rPr>
              <w:t xml:space="preserve">MODELO DE APOIO AO INSTRUMENTO. </w:t>
            </w:r>
            <w:r>
              <w:rPr>
                <w:sz w:val="18"/>
              </w:rPr>
              <w:t>Adapte à realidade da clínica. Não registre senhas, tokens, segredos ou dados pessoais desnecessários. O preenchimento deste documento não determina automaticamente o nível 0–3 da questão.</w:t>
            </w:r>
          </w:p>
        </w:tc>
      </w:tr>
    </w:tbl>
    <w:p/>
    <w:p>
      <w:r>
        <w:rPr>
          <w:b/>
          <w:color w:val="243B6B"/>
        </w:rPr>
        <w:t xml:space="preserve">Questão 33 — </w:t>
      </w:r>
      <w:r>
        <w:t>Existem controles de bloqueio por tentativas incorretas, encerramento de sessão e bloqueio de tela por inatividade?</w:t>
      </w:r>
    </w:p>
    <w:p>
      <w:r>
        <w:rPr>
          <w:b/>
        </w:rPr>
        <w:t xml:space="preserve">Evidência esperada: </w:t>
      </w:r>
      <w:r>
        <w:t>GPO, políticas de sistema, configuração de aplicativos e evidência de aplicação</w:t>
      </w:r>
    </w:p>
    <w:p>
      <w:r>
        <w:rPr>
          <w:b/>
        </w:rPr>
        <w:t xml:space="preserve">Base principal: </w:t>
      </w:r>
      <w:r>
        <w:t>NIST CSF 2.0 — PR.AA-03</w:t>
      </w:r>
    </w:p>
    <w:p/>
    <w:p>
      <w:pPr>
        <w:pStyle w:val="Heading1"/>
      </w:pPr>
      <w:r>
        <w:t>Registro de trabalho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112"/>
      </w:tblGrid>
      <w:tr>
        <w:tc>
          <w:tcPr>
            <w:tcW w:type="dxa" w:w="14112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AD: Active Directory; serviço central de usuários, computadores, grupos e autenticação em domínio.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GPO: Objeto de Política de Grupo; aplica configurações centralizadas em ambientes Windows/AD.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RIS: Sistema de Informação Radiológica, usado no fluxo administrativo/assistencial dos exames.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Baseline: padrão mínimo de configuração usado como referência.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  <w:gridCol w:w="1568"/>
        <w:gridCol w:w="1568"/>
        <w:gridCol w:w="1568"/>
      </w:tblGrid>
      <w:tr>
        <w:trPr>
          <w:tblHeader w:val="true"/>
        </w:trPr>
        <w:tc>
          <w:tcPr>
            <w:tcW w:type="dxa" w:w="1568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Sistema/plataforma</w:t>
            </w:r>
          </w:p>
        </w:tc>
        <w:tc>
          <w:tcPr>
            <w:tcW w:type="dxa" w:w="1568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Tentativas incorretas</w:t>
            </w:r>
          </w:p>
        </w:tc>
        <w:tc>
          <w:tcPr>
            <w:tcW w:type="dxa" w:w="1568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Tempo/forma de bloqueio</w:t>
            </w:r>
          </w:p>
        </w:tc>
        <w:tc>
          <w:tcPr>
            <w:tcW w:type="dxa" w:w="1568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Bloqueio de tela por inatividade</w:t>
            </w:r>
          </w:p>
        </w:tc>
        <w:tc>
          <w:tcPr>
            <w:tcW w:type="dxa" w:w="1568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Expiração de sessão</w:t>
            </w:r>
          </w:p>
        </w:tc>
        <w:tc>
          <w:tcPr>
            <w:tcW w:type="dxa" w:w="1568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Reautenticação sensível</w:t>
            </w:r>
          </w:p>
        </w:tc>
        <w:tc>
          <w:tcPr>
            <w:tcW w:type="dxa" w:w="1568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Exceção</w:t>
            </w:r>
          </w:p>
        </w:tc>
        <w:tc>
          <w:tcPr>
            <w:tcW w:type="dxa" w:w="1568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Responsável</w:t>
            </w:r>
          </w:p>
        </w:tc>
        <w:tc>
          <w:tcPr>
            <w:tcW w:type="dxa" w:w="1568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Última revisão</w:t>
            </w:r>
          </w:p>
        </w:tc>
      </w:tr>
      <w:tr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Windows/AD</w:t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Conforme política</w:t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Temporário/administrado</w:t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X min</w:t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N/A</w:t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Conforme recurso</w:t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TI</w:t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dd/mm/aaaa</w:t>
            </w:r>
          </w:p>
        </w:tc>
      </w:tr>
      <w:tr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RIS</w:t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Conforme fornecedor</w:t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Conforme fornecedor</w:t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X min</w:t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X min</w:t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Ações críticas, se suportado</w:t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TI/Fornecedor</w:t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dd/mm/aaaa</w:t>
            </w:r>
          </w:p>
        </w:tc>
      </w:tr>
      <w:tr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</w:tr>
    </w:tbl>
    <w:p/>
    <w:p>
      <w:pPr>
        <w:pStyle w:val="Heading1"/>
      </w:pPr>
      <w:r>
        <w:t>Orientações de preenchimento</w:t>
      </w:r>
    </w:p>
    <w:p>
      <w:pPr>
        <w:ind w:left="173"/>
      </w:pPr>
      <w:r>
        <w:t>• Defina valores reais após avaliar risco, usabilidade e limitações do fornecedor. O modelo não prescreve números universais.</w:t>
      </w:r>
    </w:p>
    <w:sectPr w:rsidR="00FC693F" w:rsidRPr="0006063C" w:rsidSect="00034616">
      <w:footerReference w:type="default" r:id="rId9"/>
      <w:pgSz w:w="15840" w:h="12240" w:orient="landscape"/>
      <w:pgMar w:top="792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B82"/>
        <w:sz w:val="16"/>
      </w:rPr>
      <w:t>Material de apoio — Questão 33 | Baseline de sessão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22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6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2235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