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5C6B82"/>
          <w:sz w:val="17"/>
        </w:rPr>
        <w:t>INSTRUMENTO DE AUTOAVALIAÇÃO DE CONTROLES DE SEGURANÇA CIBERNÉTICA</w:t>
      </w:r>
    </w:p>
    <w:p>
      <w:pPr>
        <w:pStyle w:val="Title"/>
        <w:jc w:val="center"/>
      </w:pPr>
      <w:r>
        <w:t>REGISTRO DE EXCEÇÕES DE BLOQUEIO E SESSÃO</w:t>
      </w:r>
    </w:p>
    <w:p>
      <w:pPr>
        <w:jc w:val="center"/>
      </w:pPr>
      <w:r>
        <w:rPr>
          <w:i/>
          <w:color w:val="5C6B82"/>
          <w:sz w:val="21"/>
        </w:rPr>
        <w:t>Sistemas legados ou limitações operacionais — Questão 33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4112"/>
      </w:tblGrid>
      <w:tr>
        <w:tc>
          <w:tcPr>
            <w:tcW w:type="dxa" w:w="14112"/>
            <w:shd w:fill="EAF0FF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r>
              <w:rPr>
                <w:b/>
                <w:color w:val="243B6B"/>
              </w:rPr>
              <w:t xml:space="preserve">MODELO DE APOIO AO INSTRUMENTO. </w:t>
            </w:r>
            <w:r>
              <w:rPr>
                <w:sz w:val="18"/>
              </w:rPr>
              <w:t>Adapte à realidade da clínica. Não registre senhas, tokens, segredos ou dados pessoais desnecessários. O preenchimento deste documento não determina automaticamente o nível 0–3 da questão.</w:t>
            </w:r>
          </w:p>
        </w:tc>
      </w:tr>
    </w:tbl>
    <w:p/>
    <w:p>
      <w:r>
        <w:rPr>
          <w:b/>
          <w:color w:val="243B6B"/>
        </w:rPr>
        <w:t xml:space="preserve">Questão 33 — </w:t>
      </w:r>
      <w:r>
        <w:t>Existem controles de bloqueio por tentativas incorretas, encerramento de sessão e bloqueio de tela por inatividade?</w:t>
      </w:r>
    </w:p>
    <w:p>
      <w:r>
        <w:rPr>
          <w:b/>
        </w:rPr>
        <w:t xml:space="preserve">Evidência esperada: </w:t>
      </w:r>
      <w:r>
        <w:t>GPO, políticas de sistema, configuração de aplicativos e evidência de aplicação</w:t>
      </w:r>
    </w:p>
    <w:p>
      <w:r>
        <w:rPr>
          <w:b/>
        </w:rPr>
        <w:t xml:space="preserve">Base principal: </w:t>
      </w:r>
      <w:r>
        <w:t>NIST CSF 2.0 — PR.AA-03</w:t>
      </w:r>
    </w:p>
    <w:p/>
    <w:p>
      <w:pPr>
        <w:pStyle w:val="Heading1"/>
      </w:pPr>
      <w:r>
        <w:t>Registro de trabalho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4112"/>
      </w:tblGrid>
      <w:tr>
        <w:tc>
          <w:tcPr>
            <w:tcW w:type="dxa" w:w="14112"/>
            <w:vAlign w:val="center"/>
            <w:shd w:fill="F3F7FA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after="0" w:line="204" w:lineRule="auto"/>
            </w:pPr>
            <w:r>
              <w:rPr>
                <w:b/>
                <w:sz w:val="14"/>
              </w:rPr>
              <w:t xml:space="preserve">Legenda / termos usados — </w:t>
            </w:r>
            <w:r>
              <w:rPr>
                <w:sz w:val="13"/>
              </w:rPr>
              <w:t>GPO: Objeto de Política de Grupo; aplica configurações centralizadas em ambientes Windows/AD.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  <w:gridCol w:w="1568"/>
        <w:gridCol w:w="1568"/>
        <w:gridCol w:w="1568"/>
      </w:tblGrid>
      <w:tr>
        <w:trPr>
          <w:tblHeader w:val="true"/>
        </w:trPr>
        <w:tc>
          <w:tcPr>
            <w:tcW w:type="dxa" w:w="1568"/>
            <w:shd w:fill="E9EEF5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/>
            <w:r>
              <w:rPr>
                <w:b/>
                <w:color w:val="172033"/>
                <w:sz w:val="14"/>
              </w:rPr>
              <w:t>Sistema</w:t>
            </w:r>
          </w:p>
        </w:tc>
        <w:tc>
          <w:tcPr>
            <w:tcW w:type="dxa" w:w="1568"/>
            <w:shd w:fill="E9EEF5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/>
            <w:r>
              <w:rPr>
                <w:b/>
                <w:color w:val="172033"/>
                <w:sz w:val="14"/>
              </w:rPr>
              <w:t>Limitação</w:t>
            </w:r>
          </w:p>
        </w:tc>
        <w:tc>
          <w:tcPr>
            <w:tcW w:type="dxa" w:w="1568"/>
            <w:shd w:fill="E9EEF5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/>
            <w:r>
              <w:rPr>
                <w:b/>
                <w:color w:val="172033"/>
                <w:sz w:val="14"/>
              </w:rPr>
              <w:t>Risco</w:t>
            </w:r>
          </w:p>
        </w:tc>
        <w:tc>
          <w:tcPr>
            <w:tcW w:type="dxa" w:w="1568"/>
            <w:shd w:fill="E9EEF5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/>
            <w:r>
              <w:rPr>
                <w:b/>
                <w:color w:val="172033"/>
                <w:sz w:val="14"/>
              </w:rPr>
              <w:t>Justificativa</w:t>
            </w:r>
          </w:p>
        </w:tc>
        <w:tc>
          <w:tcPr>
            <w:tcW w:type="dxa" w:w="1568"/>
            <w:shd w:fill="E9EEF5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/>
            <w:r>
              <w:rPr>
                <w:b/>
                <w:color w:val="172033"/>
                <w:sz w:val="14"/>
              </w:rPr>
              <w:t>Controle compensatório</w:t>
            </w:r>
          </w:p>
        </w:tc>
        <w:tc>
          <w:tcPr>
            <w:tcW w:type="dxa" w:w="1568"/>
            <w:shd w:fill="E9EEF5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/>
            <w:r>
              <w:rPr>
                <w:b/>
                <w:color w:val="172033"/>
                <w:sz w:val="14"/>
              </w:rPr>
              <w:t>Responsável</w:t>
            </w:r>
          </w:p>
        </w:tc>
        <w:tc>
          <w:tcPr>
            <w:tcW w:type="dxa" w:w="1568"/>
            <w:shd w:fill="E9EEF5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/>
            <w:r>
              <w:rPr>
                <w:b/>
                <w:color w:val="172033"/>
                <w:sz w:val="14"/>
              </w:rPr>
              <w:t>Validade</w:t>
            </w:r>
          </w:p>
        </w:tc>
        <w:tc>
          <w:tcPr>
            <w:tcW w:type="dxa" w:w="1568"/>
            <w:shd w:fill="E9EEF5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/>
            <w:r>
              <w:rPr>
                <w:b/>
                <w:color w:val="172033"/>
                <w:sz w:val="14"/>
              </w:rPr>
              <w:t>Plano de correção</w:t>
            </w:r>
          </w:p>
        </w:tc>
        <w:tc>
          <w:tcPr>
            <w:tcW w:type="dxa" w:w="1568"/>
            <w:shd w:fill="E9EEF5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/>
            <w:r>
              <w:rPr>
                <w:b/>
                <w:color w:val="172033"/>
                <w:sz w:val="14"/>
              </w:rPr>
              <w:t>Aprovador</w:t>
            </w:r>
          </w:p>
        </w:tc>
      </w:tr>
      <w:tr>
        <w:tc>
          <w:tcPr>
            <w:tcW w:type="dxa" w:w="1568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r/>
            <w:r>
              <w:rPr>
                <w:b w:val="0"/>
                <w:color w:val="172033"/>
                <w:sz w:val="14"/>
              </w:rPr>
              <w:t>Modalidade/sistema legado</w:t>
            </w:r>
          </w:p>
        </w:tc>
        <w:tc>
          <w:tcPr>
            <w:tcW w:type="dxa" w:w="1568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r/>
            <w:r>
              <w:rPr>
                <w:b w:val="0"/>
                <w:color w:val="172033"/>
                <w:sz w:val="14"/>
              </w:rPr>
              <w:t>Não suporta timeout configurável</w:t>
            </w:r>
          </w:p>
        </w:tc>
        <w:tc>
          <w:tcPr>
            <w:tcW w:type="dxa" w:w="1568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r/>
            <w:r>
              <w:rPr>
                <w:b w:val="0"/>
                <w:color w:val="172033"/>
                <w:sz w:val="14"/>
              </w:rPr>
              <w:t>Sessão pode ficar aberta</w:t>
            </w:r>
          </w:p>
        </w:tc>
        <w:tc>
          <w:tcPr>
            <w:tcW w:type="dxa" w:w="1568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r/>
            <w:r>
              <w:rPr>
                <w:b w:val="0"/>
                <w:color w:val="172033"/>
                <w:sz w:val="14"/>
              </w:rPr>
              <w:t>Limitação do fornecedor</w:t>
            </w:r>
          </w:p>
        </w:tc>
        <w:tc>
          <w:tcPr>
            <w:tcW w:type="dxa" w:w="1568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r/>
            <w:r>
              <w:rPr>
                <w:b w:val="0"/>
                <w:color w:val="172033"/>
                <w:sz w:val="14"/>
              </w:rPr>
              <w:t>Sala controlada + bloqueio do SO</w:t>
            </w:r>
          </w:p>
        </w:tc>
        <w:tc>
          <w:tcPr>
            <w:tcW w:type="dxa" w:w="1568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r/>
            <w:r>
              <w:rPr>
                <w:b w:val="0"/>
                <w:color w:val="172033"/>
                <w:sz w:val="14"/>
              </w:rPr>
              <w:t>TI/Setor</w:t>
            </w:r>
          </w:p>
        </w:tc>
        <w:tc>
          <w:tcPr>
            <w:tcW w:type="dxa" w:w="1568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r/>
            <w:r>
              <w:rPr>
                <w:b w:val="0"/>
                <w:color w:val="172033"/>
                <w:sz w:val="14"/>
              </w:rPr>
              <w:t>dd/mm/aaaa</w:t>
            </w:r>
          </w:p>
        </w:tc>
        <w:tc>
          <w:tcPr>
            <w:tcW w:type="dxa" w:w="1568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r/>
            <w:r>
              <w:rPr>
                <w:b w:val="0"/>
                <w:color w:val="172033"/>
                <w:sz w:val="14"/>
              </w:rPr>
              <w:t>Avaliar atualização</w:t>
            </w:r>
          </w:p>
        </w:tc>
        <w:tc>
          <w:tcPr>
            <w:tcW w:type="dxa" w:w="1568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r/>
            <w:r>
              <w:rPr>
                <w:b w:val="0"/>
                <w:color w:val="172033"/>
                <w:sz w:val="14"/>
              </w:rPr>
              <w:t>Gestão</w:t>
            </w:r>
          </w:p>
        </w:tc>
      </w:tr>
      <w:tr>
        <w:tc>
          <w:tcPr>
            <w:tcW w:type="dxa" w:w="1568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r/>
            <w:r>
              <w:rPr>
                <w:b w:val="0"/>
                <w:color w:val="172033"/>
                <w:sz w:val="14"/>
              </w:rPr>
            </w:r>
          </w:p>
        </w:tc>
        <w:tc>
          <w:tcPr>
            <w:tcW w:type="dxa" w:w="1568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r/>
            <w:r>
              <w:rPr>
                <w:b w:val="0"/>
                <w:color w:val="172033"/>
                <w:sz w:val="14"/>
              </w:rPr>
            </w:r>
          </w:p>
        </w:tc>
        <w:tc>
          <w:tcPr>
            <w:tcW w:type="dxa" w:w="1568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r/>
            <w:r>
              <w:rPr>
                <w:b w:val="0"/>
                <w:color w:val="172033"/>
                <w:sz w:val="14"/>
              </w:rPr>
            </w:r>
          </w:p>
        </w:tc>
        <w:tc>
          <w:tcPr>
            <w:tcW w:type="dxa" w:w="1568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r/>
            <w:r>
              <w:rPr>
                <w:b w:val="0"/>
                <w:color w:val="172033"/>
                <w:sz w:val="14"/>
              </w:rPr>
            </w:r>
          </w:p>
        </w:tc>
        <w:tc>
          <w:tcPr>
            <w:tcW w:type="dxa" w:w="1568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r/>
            <w:r>
              <w:rPr>
                <w:b w:val="0"/>
                <w:color w:val="172033"/>
                <w:sz w:val="14"/>
              </w:rPr>
            </w:r>
          </w:p>
        </w:tc>
        <w:tc>
          <w:tcPr>
            <w:tcW w:type="dxa" w:w="1568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r/>
            <w:r>
              <w:rPr>
                <w:b w:val="0"/>
                <w:color w:val="172033"/>
                <w:sz w:val="14"/>
              </w:rPr>
            </w:r>
          </w:p>
        </w:tc>
        <w:tc>
          <w:tcPr>
            <w:tcW w:type="dxa" w:w="1568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r/>
            <w:r>
              <w:rPr>
                <w:b w:val="0"/>
                <w:color w:val="172033"/>
                <w:sz w:val="14"/>
              </w:rPr>
            </w:r>
          </w:p>
        </w:tc>
        <w:tc>
          <w:tcPr>
            <w:tcW w:type="dxa" w:w="1568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r/>
            <w:r>
              <w:rPr>
                <w:b w:val="0"/>
                <w:color w:val="172033"/>
                <w:sz w:val="14"/>
              </w:rPr>
            </w:r>
          </w:p>
        </w:tc>
        <w:tc>
          <w:tcPr>
            <w:tcW w:type="dxa" w:w="1568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r/>
            <w:r>
              <w:rPr>
                <w:b w:val="0"/>
                <w:color w:val="172033"/>
                <w:sz w:val="14"/>
              </w:rPr>
            </w:r>
          </w:p>
        </w:tc>
      </w:tr>
    </w:tbl>
    <w:p/>
    <w:sectPr w:rsidR="00FC693F" w:rsidRPr="0006063C" w:rsidSect="00034616">
      <w:footerReference w:type="default" r:id="rId9"/>
      <w:pgSz w:w="15840" w:h="12240" w:orient="landscape"/>
      <w:pgMar w:top="792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C6B82"/>
        <w:sz w:val="16"/>
      </w:rPr>
      <w:t>Material de apoio — Questão 33 | Exceções de sessão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rial" w:hAnsi="Arial"/>
      <w:color w:val="172033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82235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243B6B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82235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