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ROTEIRO DE CONTEÚDO BÁSICO PARA TREINAMENTO</w:t>
      </w:r>
    </w:p>
    <w:p>
      <w:pPr>
        <w:jc w:val="center"/>
      </w:pPr>
      <w:r>
        <w:rPr>
          <w:i/>
          <w:color w:val="5C6B82"/>
          <w:sz w:val="21"/>
        </w:rPr>
        <w:t>Programa mínimo adaptável — Questão 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34 — </w:t>
      </w:r>
      <w:r>
        <w:t>Os colaboradores recebem orientação inicial e treinamento periódico sobre segurança da informação, privacidade e uso adequado dos recursos?</w:t>
      </w:r>
    </w:p>
    <w:p>
      <w:r>
        <w:rPr>
          <w:b/>
        </w:rPr>
        <w:t xml:space="preserve">Evidência esperada: </w:t>
      </w:r>
      <w:r>
        <w:t>listas de presença, conteúdo, cronograma, onboarding e campanhas</w:t>
      </w:r>
    </w:p>
    <w:p>
      <w:r>
        <w:rPr>
          <w:b/>
        </w:rPr>
        <w:t xml:space="preserve">Base principal: </w:t>
      </w:r>
      <w:r>
        <w:t>NIST CSF 2.0 — PR.AT-01</w:t>
      </w:r>
    </w:p>
    <w:p/>
    <w:p>
      <w:pPr>
        <w:pStyle w:val="Heading1"/>
      </w:pPr>
      <w:r>
        <w:t>Módulo 1 — Acesso</w:t>
      </w:r>
    </w:p>
    <w:p>
      <w:pPr>
        <w:ind w:left="173"/>
      </w:pPr>
      <w:r>
        <w:t>• Conta individual e responsabilidade.</w:t>
      </w:r>
    </w:p>
    <w:p>
      <w:pPr>
        <w:ind w:left="173"/>
      </w:pPr>
      <w:r>
        <w:t>• Senhas/frases-senha e MFA.</w:t>
      </w:r>
    </w:p>
    <w:p>
      <w:pPr>
        <w:ind w:left="173"/>
      </w:pPr>
      <w:r>
        <w:t>• Bloqueio de tela.</w:t>
      </w:r>
    </w:p>
    <w:p>
      <w:pPr>
        <w:pStyle w:val="Heading1"/>
      </w:pPr>
      <w:r>
        <w:t>Módulo 2 — Dados e privacidade</w:t>
      </w:r>
    </w:p>
    <w:p>
      <w:pPr>
        <w:ind w:left="173"/>
      </w:pPr>
      <w:r>
        <w:t>• Dados pessoais e de saúde.</w:t>
      </w:r>
    </w:p>
    <w:p>
      <w:pPr>
        <w:ind w:left="173"/>
      </w:pPr>
      <w:r>
        <w:t>• Compartilhamento mínimo necessário.</w:t>
      </w:r>
    </w:p>
    <w:p>
      <w:pPr>
        <w:ind w:left="173"/>
      </w:pPr>
      <w:r>
        <w:t>• Cuidados com impressão, e-mail, mensagens e telas.</w:t>
      </w:r>
    </w:p>
    <w:p>
      <w:pPr>
        <w:pStyle w:val="Heading1"/>
      </w:pPr>
      <w:r>
        <w:t>Módulo 3 — Ameaças</w:t>
      </w:r>
    </w:p>
    <w:p>
      <w:pPr>
        <w:ind w:left="173"/>
      </w:pPr>
      <w:r>
        <w:t>• Phishing e engenharia social.</w:t>
      </w:r>
    </w:p>
    <w:p>
      <w:pPr>
        <w:ind w:left="173"/>
      </w:pPr>
      <w:r>
        <w:t>• Anexos/links suspeitos.</w:t>
      </w:r>
    </w:p>
    <w:p>
      <w:pPr>
        <w:ind w:left="173"/>
      </w:pPr>
      <w:r>
        <w:t>• Dispositivos e mídias removíveis.</w:t>
      </w:r>
    </w:p>
    <w:p>
      <w:pPr>
        <w:pStyle w:val="Heading1"/>
      </w:pPr>
      <w:r>
        <w:t>Módulo 4 — Reporte</w:t>
      </w:r>
    </w:p>
    <w:p>
      <w:pPr>
        <w:ind w:left="173"/>
      </w:pPr>
      <w:r>
        <w:t>• Como comunicar evento.</w:t>
      </w:r>
    </w:p>
    <w:p>
      <w:pPr>
        <w:ind w:left="173"/>
      </w:pPr>
      <w:r>
        <w:t>• O que informar.</w:t>
      </w:r>
    </w:p>
    <w:p>
      <w:pPr>
        <w:ind w:left="173"/>
      </w:pPr>
      <w:r>
        <w:t>• Importância de comunicar rápido, sem ocultar erro.</w:t>
      </w:r>
    </w:p>
    <w:p>
      <w:pPr>
        <w:pStyle w:val="Heading1"/>
      </w:pPr>
      <w:r>
        <w:t>Evidência</w:t>
      </w:r>
    </w:p>
    <w:p>
      <w:pPr>
        <w:ind w:left="173"/>
      </w:pPr>
      <w:r>
        <w:t>• Lista de presença, material, questionário simples ou registro equivalente.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34 | Roteiro de treinamento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