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PLANO DE CAMPANHA E SIMULAÇÃO DE PHISHING</w:t>
      </w:r>
    </w:p>
    <w:p>
      <w:pPr>
        <w:jc w:val="center"/>
      </w:pPr>
      <w:r>
        <w:rPr>
          <w:i/>
          <w:color w:val="5C6B82"/>
          <w:sz w:val="21"/>
        </w:rPr>
        <w:t>Conscientização sem caráter punitivo — Questão 35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35 — </w:t>
      </w:r>
      <w:r>
        <w:t>Os usuários são orientados a reconhecer e comunicar phishing, engenharia social, perda de dispositivos e outros eventos suspeitos?</w:t>
      </w:r>
    </w:p>
    <w:p>
      <w:r>
        <w:rPr>
          <w:b/>
        </w:rPr>
        <w:t xml:space="preserve">Evidência esperada: </w:t>
      </w:r>
      <w:r>
        <w:t>treinamentos, campanhas, simulações, comunicados e canal de reporte</w:t>
      </w:r>
    </w:p>
    <w:p>
      <w:r>
        <w:rPr>
          <w:b/>
        </w:rPr>
        <w:t xml:space="preserve">Base principal: </w:t>
      </w:r>
      <w:r>
        <w:t>NIST CSF 2.0 — PR.AT-01</w:t>
      </w:r>
    </w:p>
    <w:p/>
    <w:p>
      <w:pPr>
        <w:pStyle w:val="Heading1"/>
      </w:pPr>
      <w:r>
        <w:t>Objetivo</w:t>
      </w:r>
    </w:p>
    <w:p>
      <w:pPr>
        <w:ind w:left="173"/>
      </w:pPr>
      <w:r>
        <w:t>• Treinar reconhecimento e reporte, não constranger pessoas.</w:t>
      </w:r>
    </w:p>
    <w:p>
      <w:pPr>
        <w:ind w:left="173"/>
      </w:pPr>
      <w:r>
        <w:t>• Medir tendência e temas de dificuldade, não usar resultado isolado como punição.</w:t>
      </w:r>
    </w:p>
    <w:p>
      <w:pPr>
        <w:pStyle w:val="Heading1"/>
      </w:pPr>
      <w:r>
        <w:t>Planejamento</w:t>
      </w:r>
    </w:p>
    <w:p>
      <w:pPr>
        <w:ind w:left="173"/>
      </w:pPr>
      <w:r>
        <w:t>• Definir público e cenário realista.</w:t>
      </w:r>
    </w:p>
    <w:p>
      <w:pPr>
        <w:ind w:left="173"/>
      </w:pPr>
      <w:r>
        <w:t>• Evitar conteúdo que explore temas excessivamente sensíveis.</w:t>
      </w:r>
    </w:p>
    <w:p>
      <w:pPr>
        <w:ind w:left="173"/>
      </w:pPr>
      <w:r>
        <w:t>• Definir canal de reporte a ser treinado.</w:t>
      </w:r>
    </w:p>
    <w:p>
      <w:pPr>
        <w:ind w:left="173"/>
      </w:pPr>
      <w:r>
        <w:t>• Preparar mensagem educativa após a simulação.</w:t>
      </w:r>
    </w:p>
    <w:p>
      <w:pPr>
        <w:pStyle w:val="Heading1"/>
      </w:pPr>
      <w:r>
        <w:t>Métricas úteis</w:t>
      </w:r>
    </w:p>
    <w:p>
      <w:pPr>
        <w:ind w:left="173"/>
      </w:pPr>
      <w:r>
        <w:t>• Taxa de reporte.</w:t>
      </w:r>
    </w:p>
    <w:p>
      <w:pPr>
        <w:ind w:left="173"/>
      </w:pPr>
      <w:r>
        <w:t>• Tempo até primeiro reporte.</w:t>
      </w:r>
    </w:p>
    <w:p>
      <w:pPr>
        <w:ind w:left="173"/>
      </w:pPr>
      <w:r>
        <w:t>• Taxa de interação/clique, interpretada com cautela.</w:t>
      </w:r>
    </w:p>
    <w:p>
      <w:pPr>
        <w:ind w:left="173"/>
      </w:pPr>
      <w:r>
        <w:t>• Temas que exigem reforço.</w:t>
      </w:r>
    </w:p>
    <w:p>
      <w:pPr>
        <w:pStyle w:val="Heading1"/>
      </w:pPr>
      <w:r>
        <w:t>Após a campanha</w:t>
      </w:r>
    </w:p>
    <w:p>
      <w:pPr>
        <w:ind w:left="173"/>
      </w:pPr>
      <w:r>
        <w:t>• Comunicar aprendizados.</w:t>
      </w:r>
    </w:p>
    <w:p>
      <w:pPr>
        <w:ind w:left="173"/>
      </w:pPr>
      <w:r>
        <w:t>• Reforçar como reportar.</w:t>
      </w:r>
    </w:p>
    <w:p>
      <w:pPr>
        <w:ind w:left="173"/>
      </w:pPr>
      <w:r>
        <w:t>• Oferecer microtreinamento.</w:t>
      </w:r>
    </w:p>
    <w:p>
      <w:pPr>
        <w:ind w:left="173"/>
      </w:pPr>
      <w:r>
        <w:t>• Registrar ação como evidência de conscientização.</w:t>
      </w:r>
    </w:p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35 | Plano de simulação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