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DE CARACTERIZAÇÃO DE CONTROLADOR E OPERADOR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38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>
              <w:t>Questão: As responsabilidades relacionadas ao tratamento de dados pessoais - incluindo os papéis de controlador e operador - estão definidas e comunicadas, e a organização mantém encarregado quando aplicável ou canal de comunicação com titulares e com a ANPD quando houver dispensa válida, conforme a regulamentação?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Ajudar a equipe a caracterizar papéis pela atuação real, e não apenas pelo nome do contrato.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Quem define as finalidades do tratamento?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Quem toma decisões essenciais sobre como o tratamento ocorre?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O terceiro trata dados seguindo instruções documentadas?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O terceiro usa dados para finalidade própria? Se sim, reavaliar o papel.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Existem suboperadores?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Contrato e prática real estão coerentes?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O papel é analisado por operação/relação, quando necessário?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A conclusão foi registrada e revisada por pessoa competente?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t>LGPD — Lei nº 13.709/2018 (texto vigente)  •  ANPD — Guia Orientativo para Definições dos Agentes de Tratamento e do Encarregado (v2.0)  •  ANPD — Resolução CD/ANPD nº 2/2022, art. 11 (agentes de tratamento de pequeno porte: regras sobre encarregado; ver também Resolução nº 18/2024 para o canal com titulares e ANPD)</w:t>
      </w:r>
    </w:p>
    <w:sectPr w:rsidR="00FC693F" w:rsidRPr="0006063C" w:rsidSect="00034616">
      <w:footerReference w:type="default" r:id="rId9"/>
      <w:headerReference w:type="default" r:id="rId10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