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PARA DEFINIR RETENÇÃO E TEMPORALIDADE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39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Evitar retenção por hábito ou apenas por capacidade de armazenamento.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Categorias principais de documentos, exames, imagens, laudos, cadastros e logs estão listadas?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Existe obrigação assistencial/regulatória específica a consultar?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Contratos impõem retenção ou eliminação?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necessidade legítima de segurança, auditoria ou defesa de direitos?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prazo está documentado com sua justificativa?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Sistemas conseguem aplicar o critério definido?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exceções por litígio, auditoria, incidente ou investigação?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 responsável por revisar os prazos está definido?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Lei nº 13.787/2018, art. 6º (prontuário: mínimo de 20 anos a partir do último registro antes da possibilidade de eliminação, observadas as condições e regras específicas aplicáveis)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