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 w:before="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10" w:before="0"/>
      </w:pPr>
      <w:r>
        <w:rPr>
          <w:rFonts w:ascii="Liberation Sans" w:hAnsi="Liberation Sans"/>
          <w:b/>
          <w:color w:val="0F172A"/>
          <w:sz w:val="30"/>
        </w:rPr>
        <w:t>MODELO DE REGISTRO DAS OPERAÇÕES DE TRATAMENTO (ROPA) — CLÍNICA</w:t>
      </w:r>
    </w:p>
    <w:p>
      <w:pPr>
        <w:spacing w:after="10" w:before="0"/>
      </w:pPr>
      <w:r>
        <w:rPr>
          <w:rFonts w:ascii="Liberation Sans" w:hAnsi="Liberation Sans"/>
          <w:color w:val="475569"/>
          <w:sz w:val="17"/>
        </w:rPr>
        <w:t>Material editável de apoio — Questão 46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/>
                <w:color w:val="0F172A"/>
                <w:sz w:val="13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3"/>
              </w:rPr>
              <w:t>A organização mantém registro das principais operações de tratamento de dados pessoais, incluindo sistemas, finalidades, compartilhamentos e responsáveis envolvidos?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/>
                <w:color w:val="0F172A"/>
                <w:sz w:val="13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3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0" w:after="1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10" w:before="0"/>
      </w:pPr>
      <w:r>
        <w:rPr>
          <w:rFonts w:ascii="Liberation Sans" w:hAnsi="Liberation Sans"/>
          <w:color w:val="475569"/>
          <w:sz w:val="12"/>
        </w:rPr>
        <w:t>Fornecer um registro estruturado inspirado no modelo orientativo da ANPD e adaptado à realidade de clínica.</w:t>
      </w:r>
    </w:p>
    <w:p>
      <w:pPr>
        <w:pStyle w:val="Heading2"/>
        <w:spacing w:before="0" w:after="10"/>
        <w:keepNext/>
      </w:pPr>
      <w:r>
        <w:rPr>
          <w:rFonts w:ascii="Liberation Sans" w:hAnsi="Liberation Sans"/>
          <w:b/>
          <w:color w:val="0F172A"/>
          <w:sz w:val="12"/>
        </w:rPr>
        <w:t>Identificação da operação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7812"/>
        <w:gridCol w:w="7812"/>
      </w:tblGrid>
      <w:tr>
        <w:tc>
          <w:tcPr>
            <w:tcW w:type="dxa" w:w="7812"/>
            <w:vAlign w:val="center"/>
            <w:shd w:fill="0F172A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/>
                <w:color w:val="FFFFFF"/>
                <w:sz w:val="13"/>
              </w:rPr>
              <w:t>Campo</w:t>
            </w:r>
          </w:p>
        </w:tc>
        <w:tc>
          <w:tcPr>
            <w:tcW w:type="dxa" w:w="7812"/>
            <w:vAlign w:val="center"/>
            <w:shd w:fill="0F172A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/>
                <w:color w:val="FFFFFF"/>
                <w:sz w:val="13"/>
              </w:rPr>
              <w:t>Preenchimento</w:t>
            </w:r>
          </w:p>
        </w:tc>
      </w:tr>
      <w:tr>
        <w:tc>
          <w:tcPr>
            <w:tcW w:type="dxa" w:w="781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color w:val="475569"/>
                <w:sz w:val="13"/>
              </w:rPr>
              <w:t>Processo/operação</w:t>
            </w:r>
          </w:p>
        </w:tc>
        <w:tc>
          <w:tcPr>
            <w:tcW w:type="dxa" w:w="781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color w:val="475569"/>
                <w:sz w:val="13"/>
              </w:rPr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color w:val="475569"/>
                <w:sz w:val="13"/>
              </w:rPr>
              <w:t>Área responsável</w:t>
            </w:r>
          </w:p>
        </w:tc>
        <w:tc>
          <w:tcPr>
            <w:tcW w:type="dxa" w:w="7812"/>
            <w:vAlign w:val="center"/>
            <w:shd w:fill="F8FAFC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color w:val="475569"/>
                <w:sz w:val="13"/>
              </w:rPr>
            </w:r>
          </w:p>
        </w:tc>
      </w:tr>
      <w:tr>
        <w:tc>
          <w:tcPr>
            <w:tcW w:type="dxa" w:w="781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color w:val="475569"/>
                <w:sz w:val="13"/>
              </w:rPr>
              <w:t>Categorias de titulares</w:t>
            </w:r>
          </w:p>
        </w:tc>
        <w:tc>
          <w:tcPr>
            <w:tcW w:type="dxa" w:w="781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color w:val="475569"/>
                <w:sz w:val="13"/>
              </w:rPr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color w:val="475569"/>
                <w:sz w:val="13"/>
              </w:rPr>
              <w:t>Dados pessoais</w:t>
            </w:r>
          </w:p>
        </w:tc>
        <w:tc>
          <w:tcPr>
            <w:tcW w:type="dxa" w:w="7812"/>
            <w:vAlign w:val="center"/>
            <w:shd w:fill="F8FAFC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color w:val="475569"/>
                <w:sz w:val="13"/>
              </w:rPr>
            </w:r>
          </w:p>
        </w:tc>
      </w:tr>
      <w:tr>
        <w:tc>
          <w:tcPr>
            <w:tcW w:type="dxa" w:w="781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color w:val="475569"/>
                <w:sz w:val="13"/>
              </w:rPr>
              <w:t>Dados pessoais sensíveis</w:t>
            </w:r>
          </w:p>
        </w:tc>
        <w:tc>
          <w:tcPr>
            <w:tcW w:type="dxa" w:w="781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color w:val="475569"/>
                <w:sz w:val="13"/>
              </w:rPr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color w:val="475569"/>
                <w:sz w:val="13"/>
              </w:rPr>
              <w:t>Finalidade</w:t>
            </w:r>
          </w:p>
        </w:tc>
        <w:tc>
          <w:tcPr>
            <w:tcW w:type="dxa" w:w="7812"/>
            <w:vAlign w:val="center"/>
            <w:shd w:fill="F8FAFC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color w:val="475569"/>
                <w:sz w:val="13"/>
              </w:rPr>
            </w:r>
          </w:p>
        </w:tc>
      </w:tr>
      <w:tr>
        <w:tc>
          <w:tcPr>
            <w:tcW w:type="dxa" w:w="781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color w:val="475569"/>
                <w:sz w:val="13"/>
              </w:rPr>
              <w:t>Hipótese legal analisada</w:t>
            </w:r>
          </w:p>
        </w:tc>
        <w:tc>
          <w:tcPr>
            <w:tcW w:type="dxa" w:w="781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color w:val="475569"/>
                <w:sz w:val="13"/>
              </w:rPr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color w:val="475569"/>
                <w:sz w:val="13"/>
              </w:rPr>
              <w:t>Sistemas/repositórios</w:t>
            </w:r>
          </w:p>
        </w:tc>
        <w:tc>
          <w:tcPr>
            <w:tcW w:type="dxa" w:w="7812"/>
            <w:vAlign w:val="center"/>
            <w:shd w:fill="F8FAFC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color w:val="475569"/>
                <w:sz w:val="13"/>
              </w:rPr>
            </w:r>
          </w:p>
        </w:tc>
      </w:tr>
      <w:tr>
        <w:tc>
          <w:tcPr>
            <w:tcW w:type="dxa" w:w="781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color w:val="475569"/>
                <w:sz w:val="13"/>
              </w:rPr>
              <w:t>Compartilhamentos/terceiros</w:t>
            </w:r>
          </w:p>
        </w:tc>
        <w:tc>
          <w:tcPr>
            <w:tcW w:type="dxa" w:w="781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color w:val="475569"/>
                <w:sz w:val="13"/>
              </w:rPr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color w:val="475569"/>
                <w:sz w:val="13"/>
              </w:rPr>
              <w:t>Período/critério de armazenamento</w:t>
            </w:r>
          </w:p>
        </w:tc>
        <w:tc>
          <w:tcPr>
            <w:tcW w:type="dxa" w:w="7812"/>
            <w:vAlign w:val="center"/>
            <w:shd w:fill="F8FAFC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color w:val="475569"/>
                <w:sz w:val="13"/>
              </w:rPr>
            </w:r>
          </w:p>
        </w:tc>
      </w:tr>
      <w:tr>
        <w:tc>
          <w:tcPr>
            <w:tcW w:type="dxa" w:w="781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color w:val="475569"/>
                <w:sz w:val="13"/>
              </w:rPr>
              <w:t>Medidas de segurança relevantes</w:t>
            </w:r>
          </w:p>
        </w:tc>
        <w:tc>
          <w:tcPr>
            <w:tcW w:type="dxa" w:w="781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color w:val="475569"/>
                <w:sz w:val="13"/>
              </w:rPr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color w:val="475569"/>
                <w:sz w:val="13"/>
              </w:rPr>
              <w:t>Controlador/operador/responsáveis analisados</w:t>
            </w:r>
          </w:p>
        </w:tc>
        <w:tc>
          <w:tcPr>
            <w:tcW w:type="dxa" w:w="7812"/>
            <w:vAlign w:val="center"/>
            <w:shd w:fill="F8FAFC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color w:val="475569"/>
                <w:sz w:val="13"/>
              </w:rPr>
            </w:r>
          </w:p>
        </w:tc>
      </w:tr>
      <w:tr>
        <w:tc>
          <w:tcPr>
            <w:tcW w:type="dxa" w:w="781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color w:val="475569"/>
                <w:sz w:val="13"/>
              </w:rPr>
              <w:t>Data e responsável pela revisão</w:t>
            </w:r>
          </w:p>
        </w:tc>
        <w:tc>
          <w:tcPr>
            <w:tcW w:type="dxa" w:w="7812"/>
            <w:vAlign w:val="center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 w:val="0"/>
                <w:color w:val="475569"/>
                <w:sz w:val="13"/>
              </w:rPr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5F3FF"/>
          </w:tcPr>
          <w:p>
            <w:pPr>
              <w:spacing w:after="0" w:before="0"/>
            </w:pPr>
            <w:r>
              <w:rPr>
                <w:sz w:val="13"/>
              </w:rPr>
            </w:r>
            <w:r>
              <w:rPr>
                <w:rFonts w:ascii="Liberation Sans" w:hAnsi="Liberation Sans"/>
                <w:b/>
                <w:color w:val="0F172A"/>
                <w:sz w:val="13"/>
              </w:rPr>
              <w:t xml:space="preserve">Observação: </w:t>
            </w:r>
            <w:r>
              <w:rPr>
                <w:rFonts w:ascii="Liberation Sans" w:hAnsi="Liberation Sans"/>
                <w:color w:val="475569"/>
                <w:sz w:val="13"/>
              </w:rPr>
              <w:t>Material próprio inspirado nos campos do modelo orientativo da ANPD para ATPP; não é reprodução nem documento oficial da ANPD.</w:t>
            </w:r>
          </w:p>
        </w:tc>
      </w:tr>
    </w:tbl>
    <w:p>
      <w:pPr>
        <w:pStyle w:val="Heading2"/>
        <w:spacing w:before="0" w:after="10"/>
        <w:keepNext/>
      </w:pPr>
      <w:r>
        <w:rPr>
          <w:rFonts w:ascii="Liberation Sans" w:hAnsi="Liberation Sans"/>
          <w:b/>
          <w:color w:val="0F172A"/>
          <w:sz w:val="12"/>
        </w:rPr>
        <w:t>Referências de apoio</w:t>
      </w:r>
    </w:p>
    <w:p>
      <w:pPr>
        <w:spacing w:after="10" w:before="0"/>
      </w:pPr>
      <w:r>
        <w:rPr>
          <w:rFonts w:ascii="Liberation Sans" w:hAnsi="Liberation Sans"/>
          <w:color w:val="475569"/>
          <w:sz w:val="12"/>
        </w:rPr>
        <w:t>LGPD — Lei nº 13.709/2018 (texto vigente)</w:t>
      </w:r>
      <w:r>
        <w:rPr>
          <w:sz w:val="12"/>
        </w:rPr>
        <w:t xml:space="preserve">  •  </w:t>
      </w:r>
      <w:r>
        <w:rPr>
          <w:rFonts w:ascii="Liberation Sans" w:hAnsi="Liberation Sans"/>
          <w:color w:val="475569"/>
          <w:sz w:val="12"/>
        </w:rPr>
        <w:t>ANPD — Modelo de Registro das Operações de Tratamento para Agentes de Tratamento de Pequeno Porte</w:t>
      </w:r>
      <w:r>
        <w:rPr>
          <w:sz w:val="12"/>
        </w:rPr>
        <w:t xml:space="preserve">  •  </w:t>
      </w:r>
      <w:r>
        <w:rPr>
          <w:rFonts w:ascii="Liberation Sans" w:hAnsi="Liberation Sans"/>
          <w:color w:val="475569"/>
          <w:sz w:val="12"/>
        </w:rPr>
        <w:t>ANPD — Guia Orientativo para Definições dos Agentes de Tratamento e do Encarregado (v2.0)</w:t>
      </w:r>
    </w:p>
    <w:sectPr w:rsidR="00FC693F" w:rsidRPr="0006063C" w:rsidSect="00034616">
      <w:footerReference w:type="default" r:id="rId9"/>
      <w:pgSz w:w="16834" w:h="11909" w:orient="landscape"/>
      <w:pgMar w:top="403" w:right="518" w:bottom="403" w:left="5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