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IMPLANTAÇÃO DE CONFIGURAÇÃO SEGURA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47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Existem padrões mínimos de configuração segura (hardening) para servidores, estações, dispositivos móveis, equipamentos de rede e serviços, de forma proporcional ao risco e à capacidade técnica?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Evitar que ativos novos ou reinstalados entrem em produção apenas com configurações padrão.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Identificação do ativo e responsável registrada.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Credenciais padrão removidas/alteradas quando aplicável.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Contas e serviços desnecessários desabilitados com segurança.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Acesso administrativo restrito.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Firewall/controle local configurado quando aplicável.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Logs e sincronização de horário habilitados quando suportados.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Atualizações aplicadas dentro da compatibilidade aprovada.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Proteção de endpoint ativa quando aplicável.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Configuração/backup de retorno preservado antes de alteração crítica.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Teste funcional realizado antes da liberação.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Exceções documentadas e aprovadas.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Hardening: reforço de configuração para reduzir a superfície de ataque.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CIS Benchmarks — referências de configuração segura, quando houver benchmark aplicável e compatível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